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7795"/>
      </w:tblGrid>
      <w:tr w:rsidR="002533D7" w:rsidRPr="00F129EB" w14:paraId="542C207E" w14:textId="77777777" w:rsidTr="007E2449"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3644D903" w14:textId="77777777" w:rsidR="002533D7" w:rsidRPr="00F129EB" w:rsidRDefault="002533D7" w:rsidP="007E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16816" wp14:editId="3B62CCDD">
                  <wp:extent cx="778510" cy="778510"/>
                  <wp:effectExtent l="0" t="0" r="2540" b="2540"/>
                  <wp:docPr id="7" name="Рисунок 7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tcBorders>
              <w:bottom w:val="single" w:sz="4" w:space="0" w:color="auto"/>
            </w:tcBorders>
          </w:tcPr>
          <w:p w14:paraId="66A90C11" w14:textId="77777777" w:rsidR="00F0509E" w:rsidRPr="00FA4915" w:rsidRDefault="00F0509E" w:rsidP="00F0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  <w:p w14:paraId="7E40D5A4" w14:textId="77777777" w:rsidR="00F0509E" w:rsidRPr="00631E65" w:rsidRDefault="00F0509E" w:rsidP="00F0509E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14:paraId="1851033F" w14:textId="77777777" w:rsidR="00F0509E" w:rsidRPr="00631E65" w:rsidRDefault="00F0509E" w:rsidP="00F0509E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14:paraId="414A22F6" w14:textId="2CD59558" w:rsidR="002533D7" w:rsidRPr="00F129EB" w:rsidRDefault="002533D7" w:rsidP="00010D6C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010D6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010D6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  <w:r w:rsidRPr="00F129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265A6D0" w14:textId="7EAA63EA" w:rsidR="00C174AD" w:rsidRDefault="00B062C2" w:rsidP="002533D7">
      <w:pPr>
        <w:pStyle w:val="a3"/>
        <w:shd w:val="clear" w:color="auto" w:fill="FFFFFF"/>
        <w:spacing w:before="240" w:beforeAutospacing="0" w:after="120" w:afterAutospacing="0"/>
        <w:jc w:val="center"/>
        <w:rPr>
          <w:b/>
          <w:bCs/>
          <w:sz w:val="27"/>
          <w:szCs w:val="27"/>
          <w:lang w:val="ky-KG"/>
        </w:rPr>
      </w:pPr>
      <w:r>
        <w:rPr>
          <w:b/>
          <w:bCs/>
          <w:sz w:val="27"/>
          <w:szCs w:val="27"/>
          <w:lang w:val="ky-KG"/>
        </w:rPr>
        <w:t>Экономикалык өсүүнүн оң тенденциясы белгиленди</w:t>
      </w:r>
    </w:p>
    <w:p w14:paraId="68E6BAA4" w14:textId="68B8EEB1" w:rsidR="00F0509E" w:rsidRPr="00680E27" w:rsidRDefault="00F0509E" w:rsidP="00F050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2018-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жылдын </w:t>
      </w:r>
      <w:r w:rsidR="00F12E73">
        <w:rPr>
          <w:rFonts w:ascii="Times New Roman" w:hAnsi="Times New Roman" w:cs="Times New Roman"/>
          <w:sz w:val="24"/>
          <w:szCs w:val="24"/>
          <w:lang w:val="ky-KG"/>
        </w:rPr>
        <w:t>10 айынын жыйынтыктары боюнча</w:t>
      </w:r>
      <w:bookmarkStart w:id="0" w:name="_GoBack"/>
      <w:bookmarkEnd w:id="0"/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87357" w:rsidRPr="002161E6">
        <w:rPr>
          <w:rFonts w:ascii="Times New Roman" w:hAnsi="Times New Roman" w:cs="Times New Roman"/>
          <w:sz w:val="24"/>
          <w:szCs w:val="24"/>
          <w:lang w:val="ky-KG"/>
        </w:rPr>
        <w:t>алдын ала баалоолор боюнча,</w:t>
      </w:r>
      <w:r w:rsidR="00D8735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көлөмү </w:t>
      </w:r>
      <w:r w:rsidR="00010D6C">
        <w:rPr>
          <w:rFonts w:ascii="Times New Roman" w:hAnsi="Times New Roman" w:cs="Times New Roman"/>
          <w:sz w:val="24"/>
          <w:szCs w:val="24"/>
          <w:lang w:val="ky-KG"/>
        </w:rPr>
        <w:t>420,0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түзүп, мурунку жыл</w:t>
      </w:r>
      <w:r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салыштырганда </w:t>
      </w:r>
      <w:r w:rsidR="00010D6C">
        <w:rPr>
          <w:rFonts w:ascii="Times New Roman" w:hAnsi="Times New Roman" w:cs="Times New Roman"/>
          <w:sz w:val="24"/>
          <w:szCs w:val="24"/>
          <w:lang w:val="ky-KG"/>
        </w:rPr>
        <w:t>2,0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</w:t>
      </w:r>
      <w:r w:rsidR="00C52A0B">
        <w:rPr>
          <w:rFonts w:ascii="Times New Roman" w:hAnsi="Times New Roman" w:cs="Times New Roman"/>
          <w:b/>
          <w:sz w:val="24"/>
          <w:szCs w:val="24"/>
          <w:lang w:val="ky-KG"/>
        </w:rPr>
        <w:t>өст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680E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</w:p>
    <w:p w14:paraId="76932481" w14:textId="40E93433" w:rsidR="00F0509E" w:rsidRPr="00C52A0B" w:rsidRDefault="00F0509E" w:rsidP="00F05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“Кумтөр” кен казуу ишканаларын эсепке албаганда, ички дүң продукт</w:t>
      </w:r>
      <w:r w:rsidR="00D87357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ун көлөмү </w:t>
      </w:r>
      <w:r w:rsidR="00010D6C">
        <w:rPr>
          <w:rFonts w:ascii="Times New Roman" w:hAnsi="Times New Roman" w:cs="Times New Roman"/>
          <w:sz w:val="24"/>
          <w:szCs w:val="24"/>
          <w:lang w:val="ky-KG"/>
        </w:rPr>
        <w:t>382,6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 миллиард сом</w:t>
      </w:r>
      <w:r w:rsidR="00C52A0B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түзүп, </w:t>
      </w:r>
      <w:r w:rsidR="00010D6C">
        <w:rPr>
          <w:rFonts w:ascii="Times New Roman" w:hAnsi="Times New Roman" w:cs="Times New Roman"/>
          <w:sz w:val="24"/>
          <w:szCs w:val="24"/>
          <w:lang w:val="ky-KG"/>
        </w:rPr>
        <w:t>2,6</w:t>
      </w:r>
      <w:r w:rsidRPr="00C52A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өстү.</w:t>
      </w:r>
    </w:p>
    <w:p w14:paraId="05EC5D88" w14:textId="77777777" w:rsidR="00F0509E" w:rsidRPr="002161E6" w:rsidRDefault="00F0509E" w:rsidP="00F0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F4E1FFB" w14:textId="26276CA6" w:rsidR="002533D7" w:rsidRPr="00C52A0B" w:rsidRDefault="00C52A0B" w:rsidP="002533D7">
      <w:pPr>
        <w:spacing w:after="120"/>
        <w:ind w:firstLine="709"/>
        <w:jc w:val="center"/>
        <w:rPr>
          <w:rFonts w:ascii="Times New Roman" w:hAnsi="Times New Roman" w:cs="Times New Roman"/>
          <w:lang w:val="ky-KG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4"/>
          <w:szCs w:val="24"/>
          <w:lang w:val="ky-KG"/>
        </w:rPr>
        <w:t>Ички дүң</w:t>
      </w:r>
      <w:r w:rsidR="002533D7" w:rsidRPr="00C52A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продукт</w:t>
      </w:r>
      <w:r w:rsidR="002533D7" w:rsidRPr="00C52A0B">
        <w:rPr>
          <w:rFonts w:ascii="Times New Roman" w:hAnsi="Times New Roman" w:cs="Times New Roman"/>
          <w:sz w:val="24"/>
          <w:szCs w:val="24"/>
          <w:lang w:val="ky-KG"/>
        </w:rPr>
        <w:br/>
      </w:r>
      <w:r w:rsidR="002533D7" w:rsidRPr="00C52A0B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="002533D7" w:rsidRPr="00C52A0B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1FBDF96D" w14:textId="2BD50F94" w:rsidR="00C65E03" w:rsidRDefault="00C65E03" w:rsidP="00561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6167C20" w14:textId="3BB08391" w:rsidR="00C65E03" w:rsidRDefault="00B062C2" w:rsidP="00561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F6D86">
        <w:rPr>
          <w:noProof/>
          <w:lang w:eastAsia="ru-RU"/>
        </w:rPr>
        <w:drawing>
          <wp:inline distT="0" distB="0" distL="0" distR="0" wp14:anchorId="7DB4364D" wp14:editId="05942602">
            <wp:extent cx="4696460" cy="179324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A4B3F0" w14:textId="77777777" w:rsidR="00C65E03" w:rsidRDefault="00C65E03" w:rsidP="00561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DC79C9C" w14:textId="08960923" w:rsidR="00561398" w:rsidRPr="002161E6" w:rsidRDefault="0047453D" w:rsidP="0056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="00561398"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="00561398"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>-жылдын январ-</w:t>
      </w:r>
      <w:r w:rsidR="00C65E03">
        <w:rPr>
          <w:rFonts w:ascii="Times New Roman" w:hAnsi="Times New Roman" w:cs="Times New Roman"/>
          <w:sz w:val="24"/>
          <w:szCs w:val="24"/>
          <w:lang w:val="ky-KG"/>
        </w:rPr>
        <w:t>ок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тябрында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10D6C">
        <w:rPr>
          <w:rFonts w:ascii="Times New Roman" w:hAnsi="Times New Roman" w:cs="Times New Roman"/>
          <w:sz w:val="24"/>
          <w:szCs w:val="24"/>
          <w:lang w:val="ky-KG"/>
        </w:rPr>
        <w:t>190,4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ду түзүп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, мурунку жылга салыштырмалуу </w:t>
      </w:r>
      <w:r w:rsidR="00010D6C">
        <w:rPr>
          <w:rFonts w:ascii="Times New Roman" w:hAnsi="Times New Roman" w:cs="Times New Roman"/>
          <w:sz w:val="24"/>
          <w:szCs w:val="24"/>
          <w:lang w:val="ky-KG"/>
        </w:rPr>
        <w:t>1,4</w:t>
      </w:r>
      <w:r w:rsidR="00561398"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төмөндөдү. 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Өнөр жай өндүрүшүнүн көлөмдөрүнүн 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төмөндө</w:t>
      </w:r>
      <w:r w:rsidR="00561398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шү 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>металл рудаларын</w:t>
      </w:r>
      <w:r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214C1D">
        <w:rPr>
          <w:rFonts w:ascii="Times New Roman" w:hAnsi="Times New Roman" w:cs="Times New Roman"/>
          <w:sz w:val="24"/>
          <w:szCs w:val="24"/>
          <w:lang w:val="ky-KG"/>
        </w:rPr>
        <w:t>65,3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пайызга) жана баалуу металлдарды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214C1D">
        <w:rPr>
          <w:rFonts w:ascii="Times New Roman" w:hAnsi="Times New Roman" w:cs="Times New Roman"/>
          <w:sz w:val="24"/>
          <w:szCs w:val="24"/>
          <w:lang w:val="ky-KG"/>
        </w:rPr>
        <w:t>3,5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пайызга) көлөмдөрүнүн төмөндөшү менен шартталды. Ушуну менен бир катарда, кийим, текстил өндүрүшүндө, мунайзат, резиналык жана пластмассалык жасалгаларды жана </w:t>
      </w:r>
      <w:r>
        <w:rPr>
          <w:rFonts w:ascii="Times New Roman" w:hAnsi="Times New Roman" w:cs="Times New Roman"/>
          <w:sz w:val="24"/>
          <w:szCs w:val="24"/>
          <w:lang w:val="ky-KG"/>
        </w:rPr>
        <w:t>курулуш материалдарын</w:t>
      </w:r>
      <w:r w:rsidR="00561398">
        <w:rPr>
          <w:rFonts w:ascii="Times New Roman" w:hAnsi="Times New Roman" w:cs="Times New Roman"/>
          <w:sz w:val="24"/>
          <w:szCs w:val="24"/>
          <w:lang w:val="ky-KG"/>
        </w:rPr>
        <w:t xml:space="preserve"> өндүрүүдө өсүү камсыздалган.</w:t>
      </w:r>
    </w:p>
    <w:p w14:paraId="5CBD4D75" w14:textId="24205681" w:rsidR="002533D7" w:rsidRPr="0047453D" w:rsidRDefault="0047453D" w:rsidP="002533D7">
      <w:pPr>
        <w:shd w:val="clear" w:color="auto" w:fill="FFFFFF"/>
        <w:spacing w:before="120" w:after="0"/>
        <w:ind w:right="142"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нөр жай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>продукцияларынын көлөмү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533D7" w:rsidRPr="0047453D">
        <w:rPr>
          <w:rFonts w:ascii="Times New Roman" w:hAnsi="Times New Roman" w:cs="Times New Roman"/>
          <w:sz w:val="24"/>
          <w:szCs w:val="24"/>
          <w:lang w:val="ky-KG"/>
        </w:rPr>
        <w:br/>
      </w:r>
      <w:r w:rsidR="002533D7" w:rsidRPr="0047453D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="002533D7" w:rsidRPr="0047453D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0B7C1426" w14:textId="77777777" w:rsidR="00C65E03" w:rsidRDefault="00C65E03" w:rsidP="0047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7081FEC" w14:textId="6BCAEEE7" w:rsidR="00C65E03" w:rsidRDefault="00B062C2" w:rsidP="0047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6D86">
        <w:rPr>
          <w:noProof/>
          <w:lang w:eastAsia="ru-RU"/>
        </w:rPr>
        <w:drawing>
          <wp:inline distT="0" distB="0" distL="0" distR="0" wp14:anchorId="203DC039" wp14:editId="7C041196">
            <wp:extent cx="3609975" cy="17399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CB315E" w14:textId="75BDCF41" w:rsidR="0047453D" w:rsidRDefault="0047453D" w:rsidP="0047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Айыл чарбасында 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реалдуу өсүү </w:t>
      </w:r>
      <w:r w:rsidR="00214C1D">
        <w:rPr>
          <w:rFonts w:ascii="Times New Roman" w:hAnsi="Times New Roman" w:cs="Times New Roman"/>
          <w:b/>
          <w:sz w:val="24"/>
          <w:szCs w:val="24"/>
          <w:lang w:val="ky-KG"/>
        </w:rPr>
        <w:t>2,5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пайызды, курулушта өсүү</w:t>
      </w:r>
      <w:r w:rsidR="00214C1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8,3</w:t>
      </w:r>
      <w:r w:rsidRPr="00C900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ошондой эле 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дүң жана чекене соодада өсүү </w:t>
      </w:r>
      <w:r w:rsidR="00214C1D">
        <w:rPr>
          <w:rFonts w:ascii="Times New Roman" w:hAnsi="Times New Roman" w:cs="Times New Roman"/>
          <w:b/>
          <w:sz w:val="24"/>
          <w:szCs w:val="24"/>
          <w:lang w:val="ky-KG"/>
        </w:rPr>
        <w:t>5,3</w:t>
      </w:r>
      <w:r w:rsidRPr="00C4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пайызды түзүп</w:t>
      </w:r>
      <w:r>
        <w:rPr>
          <w:rFonts w:ascii="Times New Roman" w:hAnsi="Times New Roman" w:cs="Times New Roman"/>
          <w:sz w:val="24"/>
          <w:szCs w:val="24"/>
          <w:lang w:val="ky-KG"/>
        </w:rPr>
        <w:t>, оң тенденциялар байкалган.</w:t>
      </w:r>
    </w:p>
    <w:p w14:paraId="2431A1CA" w14:textId="52F84355" w:rsidR="0047453D" w:rsidRDefault="0047453D" w:rsidP="0047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-жылдын январ-</w:t>
      </w:r>
      <w:r w:rsidR="00C65E03">
        <w:rPr>
          <w:rFonts w:ascii="Times New Roman" w:hAnsi="Times New Roman" w:cs="Times New Roman"/>
          <w:sz w:val="24"/>
          <w:szCs w:val="24"/>
          <w:lang w:val="ky-KG"/>
        </w:rPr>
        <w:t>ок</w:t>
      </w:r>
      <w:r w:rsidR="00076E25">
        <w:rPr>
          <w:rFonts w:ascii="Times New Roman" w:hAnsi="Times New Roman" w:cs="Times New Roman"/>
          <w:sz w:val="24"/>
          <w:szCs w:val="24"/>
          <w:lang w:val="ky-KG"/>
        </w:rPr>
        <w:t>тябры</w:t>
      </w:r>
      <w:r w:rsidR="00E45E28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(өткөн жылдын декабрына салыштырмалуу) жалпысынан республика боюнча керектөө бааларынын </w:t>
      </w:r>
      <w:r w:rsidR="00214C1D">
        <w:rPr>
          <w:rFonts w:ascii="Times New Roman" w:hAnsi="Times New Roman" w:cs="Times New Roman"/>
          <w:sz w:val="24"/>
          <w:szCs w:val="24"/>
          <w:lang w:val="ky-KG"/>
        </w:rPr>
        <w:t>0,9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 төмөндөөсү (дефляция)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байкалган. 2017-жылдын январ-</w:t>
      </w:r>
      <w:r w:rsidR="00C65E03">
        <w:rPr>
          <w:rFonts w:ascii="Times New Roman" w:hAnsi="Times New Roman" w:cs="Times New Roman"/>
          <w:sz w:val="24"/>
          <w:szCs w:val="24"/>
          <w:lang w:val="ky-KG"/>
        </w:rPr>
        <w:t>ок</w:t>
      </w:r>
      <w:r w:rsidR="00076E25">
        <w:rPr>
          <w:rFonts w:ascii="Times New Roman" w:hAnsi="Times New Roman" w:cs="Times New Roman"/>
          <w:sz w:val="24"/>
          <w:szCs w:val="24"/>
          <w:lang w:val="ky-KG"/>
        </w:rPr>
        <w:t>тябры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нда керектөө секторунда инфляциянын деңгээли </w:t>
      </w:r>
      <w:r w:rsidR="00214C1D">
        <w:rPr>
          <w:rFonts w:ascii="Times New Roman" w:hAnsi="Times New Roman" w:cs="Times New Roman"/>
          <w:sz w:val="24"/>
          <w:szCs w:val="24"/>
          <w:lang w:val="ky-KG"/>
        </w:rPr>
        <w:t>2,0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түзгөн эле.</w:t>
      </w:r>
    </w:p>
    <w:p w14:paraId="3CABB7AB" w14:textId="4554B49A" w:rsidR="00076E25" w:rsidRDefault="00076E25" w:rsidP="0007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Жыл башынан бери керектөө товарларына жана кызматтарына баалар республиканын бардык региондорунда төмөндөөсү байкалган,</w:t>
      </w:r>
      <w:r w:rsidR="00695F3D">
        <w:rPr>
          <w:rFonts w:ascii="Times New Roman" w:hAnsi="Times New Roman" w:cs="Times New Roman"/>
          <w:sz w:val="24"/>
          <w:szCs w:val="24"/>
          <w:lang w:val="ky-KG"/>
        </w:rPr>
        <w:t xml:space="preserve"> ошол эле мезгилде баалар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Нарын облусунда </w:t>
      </w:r>
      <w:r w:rsidR="00214C1D">
        <w:rPr>
          <w:rFonts w:ascii="Times New Roman" w:hAnsi="Times New Roman" w:cs="Times New Roman"/>
          <w:sz w:val="24"/>
          <w:szCs w:val="24"/>
          <w:lang w:val="ky-KG"/>
        </w:rPr>
        <w:t>1,9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пайызга </w:t>
      </w:r>
      <w:r w:rsidR="00695F3D">
        <w:rPr>
          <w:rFonts w:ascii="Times New Roman" w:hAnsi="Times New Roman" w:cs="Times New Roman"/>
          <w:sz w:val="24"/>
          <w:szCs w:val="24"/>
          <w:lang w:val="ky-KG"/>
        </w:rPr>
        <w:t xml:space="preserve">жана Ош облусунда </w:t>
      </w:r>
      <w:r w:rsidR="001124CD">
        <w:rPr>
          <w:rFonts w:ascii="Times New Roman" w:hAnsi="Times New Roman" w:cs="Times New Roman"/>
          <w:sz w:val="24"/>
          <w:szCs w:val="24"/>
          <w:lang w:val="ky-KG"/>
        </w:rPr>
        <w:t>1,2</w:t>
      </w:r>
      <w:r w:rsidR="00695F3D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 w:rsidR="001124CD">
        <w:rPr>
          <w:rFonts w:ascii="Times New Roman" w:hAnsi="Times New Roman" w:cs="Times New Roman"/>
          <w:sz w:val="24"/>
          <w:szCs w:val="24"/>
          <w:lang w:val="ky-KG"/>
        </w:rPr>
        <w:t>, Ысык-Көл облусунда 0,2 пайызга</w:t>
      </w:r>
      <w:r w:rsidR="00695F3D">
        <w:rPr>
          <w:rFonts w:ascii="Times New Roman" w:hAnsi="Times New Roman" w:cs="Times New Roman"/>
          <w:sz w:val="24"/>
          <w:szCs w:val="24"/>
          <w:lang w:val="ky-KG"/>
        </w:rPr>
        <w:t xml:space="preserve"> жогорула</w:t>
      </w:r>
      <w:r>
        <w:rPr>
          <w:rFonts w:ascii="Times New Roman" w:hAnsi="Times New Roman" w:cs="Times New Roman"/>
          <w:sz w:val="24"/>
          <w:szCs w:val="24"/>
          <w:lang w:val="ky-KG"/>
        </w:rPr>
        <w:t>ган.</w:t>
      </w:r>
    </w:p>
    <w:p w14:paraId="22B20153" w14:textId="77777777" w:rsidR="00076E25" w:rsidRDefault="00076E25" w:rsidP="0007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828790D" w14:textId="7831F195" w:rsidR="00695F3D" w:rsidRDefault="00695F3D" w:rsidP="0069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C1437">
        <w:rPr>
          <w:rFonts w:ascii="Times New Roman" w:hAnsi="Times New Roman" w:cs="Times New Roman"/>
          <w:sz w:val="24"/>
          <w:szCs w:val="24"/>
          <w:lang w:val="ky-KG"/>
        </w:rPr>
        <w:t>2018-жылдын январ-</w:t>
      </w:r>
      <w:r w:rsidR="00C65E03">
        <w:rPr>
          <w:rFonts w:ascii="Times New Roman" w:hAnsi="Times New Roman" w:cs="Times New Roman"/>
          <w:sz w:val="24"/>
          <w:szCs w:val="24"/>
          <w:lang w:val="ky-KG"/>
        </w:rPr>
        <w:t>сентябры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да, </w:t>
      </w:r>
      <w:r w:rsidRPr="00AC1437">
        <w:rPr>
          <w:rFonts w:ascii="Times New Roman" w:hAnsi="Times New Roman" w:cs="Times New Roman"/>
          <w:b/>
          <w:sz w:val="24"/>
          <w:szCs w:val="24"/>
          <w:lang w:val="ky-KG"/>
        </w:rPr>
        <w:t>тышкы соода жүгүртүүнүн көлөмү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124CD" w:rsidRPr="001124CD">
        <w:rPr>
          <w:rFonts w:ascii="Times New Roman" w:hAnsi="Times New Roman" w:cs="Times New Roman"/>
          <w:b/>
          <w:sz w:val="24"/>
          <w:szCs w:val="24"/>
          <w:lang w:val="ky-KG"/>
        </w:rPr>
        <w:t>4,8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124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миллиард 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АКШ долларын түзүп, өткөн жылдын ушул мезгилине салыштырмалуу </w:t>
      </w:r>
      <w:r w:rsidR="001124CD" w:rsidRPr="001124CD">
        <w:rPr>
          <w:rFonts w:ascii="Times New Roman" w:hAnsi="Times New Roman" w:cs="Times New Roman"/>
          <w:b/>
          <w:sz w:val="24"/>
          <w:szCs w:val="24"/>
          <w:lang w:val="ky-KG"/>
        </w:rPr>
        <w:t>7,3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жогорулаган.</w:t>
      </w:r>
      <w:r w:rsidRPr="00AC1437">
        <w:rPr>
          <w:rFonts w:ascii="Times New Roman" w:hAnsi="Times New Roman" w:cs="Times New Roman"/>
          <w:sz w:val="24"/>
          <w:szCs w:val="24"/>
          <w:lang w:val="ky-KG"/>
        </w:rPr>
        <w:t xml:space="preserve"> Мунун ичинде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экспорттук операциялар </w:t>
      </w:r>
      <w:r w:rsidR="00FD070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124CD">
        <w:rPr>
          <w:rFonts w:ascii="Times New Roman" w:hAnsi="Times New Roman" w:cs="Times New Roman"/>
          <w:b/>
          <w:sz w:val="24"/>
          <w:szCs w:val="24"/>
          <w:lang w:val="ky-KG"/>
        </w:rPr>
        <w:t>3,1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төмөндөгөн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ал эми импорттук келип түшүүлөр </w:t>
      </w:r>
      <w:r w:rsidR="001124CD">
        <w:rPr>
          <w:rFonts w:ascii="Times New Roman" w:hAnsi="Times New Roman" w:cs="Times New Roman"/>
          <w:b/>
          <w:sz w:val="24"/>
          <w:szCs w:val="24"/>
          <w:lang w:val="ky-KG"/>
        </w:rPr>
        <w:t>11,2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пайызга өскөн.</w:t>
      </w:r>
    </w:p>
    <w:p w14:paraId="20BD4E02" w14:textId="77777777" w:rsidR="00C174AD" w:rsidRPr="00535611" w:rsidRDefault="00C174AD" w:rsidP="0069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2974438" w14:textId="036C58DA" w:rsidR="00C174AD" w:rsidRDefault="00695F3D" w:rsidP="006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35611">
        <w:rPr>
          <w:rFonts w:ascii="Times New Roman" w:hAnsi="Times New Roman" w:cs="Times New Roman"/>
          <w:sz w:val="24"/>
          <w:szCs w:val="24"/>
          <w:lang w:val="ky-KG"/>
        </w:rPr>
        <w:t>2018-жылдын январ-</w:t>
      </w:r>
      <w:r w:rsidR="0086638F">
        <w:rPr>
          <w:rFonts w:ascii="Times New Roman" w:hAnsi="Times New Roman" w:cs="Times New Roman"/>
          <w:sz w:val="24"/>
          <w:szCs w:val="24"/>
          <w:lang w:val="ky-KG"/>
        </w:rPr>
        <w:t>сентябры</w:t>
      </w:r>
      <w:r w:rsidR="00FD0708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менен өз ара сооданын көлөмү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124CD" w:rsidRPr="001124CD">
        <w:rPr>
          <w:rFonts w:ascii="Times New Roman" w:hAnsi="Times New Roman" w:cs="Times New Roman"/>
          <w:b/>
          <w:sz w:val="24"/>
          <w:szCs w:val="24"/>
          <w:lang w:val="ky-KG"/>
        </w:rPr>
        <w:t>1,7</w:t>
      </w:r>
      <w:r w:rsidRPr="001124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миллиард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АКШ долларын түзүп, 2017-жылдын ушул мезгилине салыштырганда </w:t>
      </w:r>
      <w:r w:rsidR="001124CD">
        <w:rPr>
          <w:rFonts w:ascii="Times New Roman" w:hAnsi="Times New Roman" w:cs="Times New Roman"/>
          <w:sz w:val="24"/>
          <w:szCs w:val="24"/>
          <w:lang w:val="ky-KG"/>
        </w:rPr>
        <w:t xml:space="preserve"> 5,1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 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>төмөндөгөн</w:t>
      </w:r>
      <w:r w:rsidRPr="00535611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Мунун ичинде, </w:t>
      </w:r>
      <w:r w:rsidR="00214927"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экспорт </w:t>
      </w:r>
      <w:r w:rsidR="006716C8">
        <w:rPr>
          <w:rFonts w:ascii="Times New Roman" w:hAnsi="Times New Roman" w:cs="Times New Roman"/>
          <w:sz w:val="24"/>
          <w:szCs w:val="24"/>
          <w:lang w:val="ky-KG"/>
        </w:rPr>
        <w:t>0,9</w:t>
      </w:r>
      <w:r w:rsidR="00214927"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өскөн</w:t>
      </w:r>
      <w:r w:rsidR="0021492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214927" w:rsidRPr="00535611">
        <w:rPr>
          <w:rFonts w:ascii="Times New Roman" w:hAnsi="Times New Roman" w:cs="Times New Roman"/>
          <w:sz w:val="24"/>
          <w:szCs w:val="24"/>
          <w:lang w:val="ky-KG"/>
        </w:rPr>
        <w:t>ал эми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импорт </w:t>
      </w:r>
      <w:r w:rsidR="006716C8">
        <w:rPr>
          <w:rFonts w:ascii="Times New Roman" w:hAnsi="Times New Roman" w:cs="Times New Roman"/>
          <w:sz w:val="24"/>
          <w:szCs w:val="24"/>
          <w:lang w:val="ky-KG"/>
        </w:rPr>
        <w:t>7,0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пайызга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төмөндөгөн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33B8C05D" w14:textId="595ED101" w:rsidR="00695F3D" w:rsidRDefault="00695F3D" w:rsidP="006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770F">
        <w:rPr>
          <w:rFonts w:ascii="Times New Roman" w:hAnsi="Times New Roman" w:cs="Times New Roman"/>
          <w:sz w:val="24"/>
          <w:szCs w:val="24"/>
          <w:lang w:val="ky-KG"/>
        </w:rPr>
        <w:t>ЕАЭБ мүчө-мамлекеттери менен өз ара соодада эң көп үлүш Россияга  (</w:t>
      </w:r>
      <w:r w:rsidR="006716C8">
        <w:rPr>
          <w:rFonts w:ascii="Times New Roman" w:hAnsi="Times New Roman" w:cs="Times New Roman"/>
          <w:sz w:val="24"/>
          <w:szCs w:val="24"/>
          <w:lang w:val="ky-KG"/>
        </w:rPr>
        <w:t>66,1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 xml:space="preserve"> пайызы) жана Казакстанга (</w:t>
      </w:r>
      <w:r w:rsidR="006716C8">
        <w:rPr>
          <w:rFonts w:ascii="Times New Roman" w:hAnsi="Times New Roman" w:cs="Times New Roman"/>
          <w:sz w:val="24"/>
          <w:szCs w:val="24"/>
          <w:lang w:val="ky-KG"/>
        </w:rPr>
        <w:t>32,2</w:t>
      </w:r>
      <w:r w:rsidRPr="0021770F">
        <w:rPr>
          <w:rFonts w:ascii="Times New Roman" w:hAnsi="Times New Roman" w:cs="Times New Roman"/>
          <w:sz w:val="24"/>
          <w:szCs w:val="24"/>
          <w:lang w:val="ky-KG"/>
        </w:rPr>
        <w:t xml:space="preserve"> пайызы) туура келген. </w:t>
      </w:r>
    </w:p>
    <w:p w14:paraId="33FE5493" w14:textId="77777777" w:rsidR="00214927" w:rsidRPr="00214927" w:rsidRDefault="00214927" w:rsidP="00253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418E0B1" w14:textId="4E5FFCFB" w:rsidR="002533D7" w:rsidRPr="00E86584" w:rsidRDefault="00E86584" w:rsidP="002533D7">
      <w:pPr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>ЕАЭБ мүчө-мамлекеттери</w:t>
      </w:r>
      <w:r w:rsidRPr="005356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356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менен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өз ара соодасы</w:t>
      </w:r>
      <w:r w:rsidR="002533D7" w:rsidRPr="00E86584">
        <w:rPr>
          <w:rFonts w:ascii="Times New Roman" w:hAnsi="Times New Roman" w:cs="Times New Roman"/>
          <w:sz w:val="24"/>
          <w:szCs w:val="24"/>
          <w:lang w:val="ky-KG"/>
        </w:rPr>
        <w:br/>
      </w:r>
      <w:r w:rsidR="002533D7" w:rsidRPr="00E86584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өткөн жылдын ушул мезгилине салыштырмалуу, пайыздарда</w:t>
      </w:r>
      <w:r w:rsidR="002533D7" w:rsidRPr="00E86584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1970AEAF" w14:textId="77777777" w:rsidR="002533D7" w:rsidRPr="00F40AC9" w:rsidRDefault="002533D7" w:rsidP="002533D7">
      <w:pPr>
        <w:spacing w:after="12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86584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             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>Импорт</w:t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449">
        <w:rPr>
          <w:rFonts w:ascii="Times New Roman" w:hAnsi="Times New Roman" w:cs="Times New Roman"/>
          <w:b/>
          <w:i/>
          <w:sz w:val="20"/>
          <w:szCs w:val="20"/>
        </w:rPr>
        <w:tab/>
        <w:t>Экспорт</w:t>
      </w:r>
      <w:r w:rsidRPr="00F40AC9" w:rsidDel="00E360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4907"/>
        <w:gridCol w:w="5050"/>
      </w:tblGrid>
      <w:tr w:rsidR="002533D7" w:rsidRPr="000F6D86" w14:paraId="78B41D0E" w14:textId="77777777" w:rsidTr="007E2449">
        <w:trPr>
          <w:trHeight w:val="2662"/>
        </w:trPr>
        <w:tc>
          <w:tcPr>
            <w:tcW w:w="2594" w:type="pct"/>
          </w:tcPr>
          <w:p w14:paraId="12EA34E3" w14:textId="132B5E7D" w:rsidR="002533D7" w:rsidRPr="000F6D86" w:rsidRDefault="00B062C2" w:rsidP="007E2449">
            <w:r>
              <w:rPr>
                <w:noProof/>
                <w:lang w:eastAsia="ru-RU"/>
              </w:rPr>
              <w:drawing>
                <wp:inline distT="0" distB="0" distL="0" distR="0" wp14:anchorId="01D48ED2" wp14:editId="6D397B0A">
                  <wp:extent cx="2979336" cy="1690783"/>
                  <wp:effectExtent l="0" t="0" r="0" b="5080"/>
                  <wp:docPr id="3" name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36" cy="170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pct"/>
            <w:shd w:val="clear" w:color="auto" w:fill="auto"/>
          </w:tcPr>
          <w:p w14:paraId="3DFB9C9E" w14:textId="4F8475D7" w:rsidR="002533D7" w:rsidRPr="000F6D86" w:rsidRDefault="00B062C2" w:rsidP="007E2449">
            <w:r>
              <w:rPr>
                <w:noProof/>
                <w:lang w:eastAsia="ru-RU"/>
              </w:rPr>
              <w:drawing>
                <wp:inline distT="0" distB="0" distL="0" distR="0" wp14:anchorId="27A98C6D" wp14:editId="2E7D0AD7">
                  <wp:extent cx="3069590" cy="1614805"/>
                  <wp:effectExtent l="0" t="0" r="0" b="4445"/>
                  <wp:docPr id="4" name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590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bookmarkEnd w:id="2"/>
    <w:p w14:paraId="30CBA31D" w14:textId="77777777" w:rsidR="002533D7" w:rsidRPr="00D46100" w:rsidRDefault="002533D7" w:rsidP="002533D7">
      <w:pPr>
        <w:spacing w:before="120"/>
        <w:jc w:val="center"/>
        <w:rPr>
          <w:rFonts w:cs="Times New Roman"/>
          <w:b/>
          <w:bCs/>
          <w:i/>
          <w:iCs/>
        </w:rPr>
      </w:pPr>
      <w:r w:rsidRPr="007E2449">
        <w:t>****</w:t>
      </w:r>
    </w:p>
    <w:p w14:paraId="40D69AE4" w14:textId="0D2D3D61" w:rsidR="00E86584" w:rsidRDefault="00E86584" w:rsidP="00E8658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6584">
        <w:rPr>
          <w:rFonts w:ascii="Times New Roman" w:hAnsi="Times New Roman" w:cs="Times New Roman"/>
        </w:rPr>
        <w:t>Кыргыз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Республикасынын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улуттук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маалыматтык-статистикалык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тутуму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өлкөдөгү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маанилүү</w:t>
      </w:r>
      <w:proofErr w:type="spellEnd"/>
      <w:r w:rsidRPr="00E86584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маалыматтык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тутумдардын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бири</w:t>
      </w:r>
      <w:proofErr w:type="spellEnd"/>
      <w:r w:rsidRPr="00E86584">
        <w:rPr>
          <w:rFonts w:ascii="Times New Roman" w:hAnsi="Times New Roman" w:cs="Times New Roman"/>
        </w:rPr>
        <w:t xml:space="preserve"> катары базар </w:t>
      </w:r>
      <w:proofErr w:type="spellStart"/>
      <w:r w:rsidRPr="00E86584">
        <w:rPr>
          <w:rFonts w:ascii="Times New Roman" w:hAnsi="Times New Roman" w:cs="Times New Roman"/>
        </w:rPr>
        <w:t>экономикасынын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заманбап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талаптарына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жооп</w:t>
      </w:r>
      <w:proofErr w:type="spellEnd"/>
      <w:r w:rsidRPr="00E86584">
        <w:rPr>
          <w:rFonts w:ascii="Times New Roman" w:hAnsi="Times New Roman" w:cs="Times New Roman"/>
          <w:lang w:val="ky-KG"/>
        </w:rPr>
        <w:t xml:space="preserve"> </w:t>
      </w:r>
      <w:r w:rsidRPr="00E86584">
        <w:rPr>
          <w:rFonts w:ascii="Times New Roman" w:hAnsi="Times New Roman" w:cs="Times New Roman"/>
        </w:rPr>
        <w:t xml:space="preserve">берет, </w:t>
      </w:r>
      <w:proofErr w:type="spellStart"/>
      <w:r w:rsidRPr="00E86584">
        <w:rPr>
          <w:rFonts w:ascii="Times New Roman" w:hAnsi="Times New Roman" w:cs="Times New Roman"/>
        </w:rPr>
        <w:t>мамлекеттик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бийлик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органдарын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жана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коомчулукту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республиканын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6584">
        <w:rPr>
          <w:rFonts w:ascii="Times New Roman" w:hAnsi="Times New Roman" w:cs="Times New Roman"/>
        </w:rPr>
        <w:t>социалдык</w:t>
      </w:r>
      <w:proofErr w:type="spellEnd"/>
      <w:r w:rsidRPr="00E86584">
        <w:rPr>
          <w:rFonts w:ascii="Times New Roman" w:hAnsi="Times New Roman" w:cs="Times New Roman"/>
        </w:rPr>
        <w:t>,</w:t>
      </w:r>
      <w:r w:rsidRPr="00E86584">
        <w:rPr>
          <w:rFonts w:ascii="Times New Roman" w:hAnsi="Times New Roman" w:cs="Times New Roman"/>
          <w:lang w:val="ky-KG"/>
        </w:rPr>
        <w:t xml:space="preserve">  </w:t>
      </w:r>
      <w:proofErr w:type="spellStart"/>
      <w:r w:rsidRPr="00E86584">
        <w:rPr>
          <w:rFonts w:ascii="Times New Roman" w:hAnsi="Times New Roman" w:cs="Times New Roman"/>
        </w:rPr>
        <w:t>кономикалык</w:t>
      </w:r>
      <w:proofErr w:type="spellEnd"/>
      <w:proofErr w:type="gramEnd"/>
      <w:r w:rsidRPr="00E86584">
        <w:rPr>
          <w:rFonts w:ascii="Times New Roman" w:hAnsi="Times New Roman" w:cs="Times New Roman"/>
        </w:rPr>
        <w:t xml:space="preserve">, </w:t>
      </w:r>
      <w:proofErr w:type="spellStart"/>
      <w:r w:rsidRPr="00E86584">
        <w:rPr>
          <w:rFonts w:ascii="Times New Roman" w:hAnsi="Times New Roman" w:cs="Times New Roman"/>
        </w:rPr>
        <w:t>демографиялык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жана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экологиялык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абалы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жөнүндө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статистикалык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байкоо</w:t>
      </w:r>
      <w:proofErr w:type="spellEnd"/>
      <w:r w:rsidRPr="00E86584">
        <w:rPr>
          <w:rFonts w:ascii="Times New Roman" w:hAnsi="Times New Roman" w:cs="Times New Roman"/>
        </w:rPr>
        <w:t xml:space="preserve">, </w:t>
      </w:r>
      <w:proofErr w:type="spellStart"/>
      <w:r w:rsidRPr="00E86584">
        <w:rPr>
          <w:rFonts w:ascii="Times New Roman" w:hAnsi="Times New Roman" w:cs="Times New Roman"/>
        </w:rPr>
        <w:t>иштеп</w:t>
      </w:r>
      <w:proofErr w:type="spellEnd"/>
      <w:r w:rsidRPr="00E86584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чыгуу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жана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статистикалык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маалыматтарды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таратуунун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жаңы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методдоруна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негизделген</w:t>
      </w:r>
      <w:proofErr w:type="spellEnd"/>
      <w:r w:rsidRPr="00E86584">
        <w:rPr>
          <w:rFonts w:ascii="Times New Roman" w:hAnsi="Times New Roman" w:cs="Times New Roman"/>
        </w:rPr>
        <w:t xml:space="preserve">, эл </w:t>
      </w:r>
      <w:proofErr w:type="spellStart"/>
      <w:r w:rsidRPr="00E86584">
        <w:rPr>
          <w:rFonts w:ascii="Times New Roman" w:hAnsi="Times New Roman" w:cs="Times New Roman"/>
        </w:rPr>
        <w:t>аралык</w:t>
      </w:r>
      <w:proofErr w:type="spellEnd"/>
      <w:r w:rsidR="00D87357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эрежелерге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жана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стандарттарга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ылайыктуу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маалыматтар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менен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камсыз</w:t>
      </w:r>
      <w:proofErr w:type="spellEnd"/>
      <w:r w:rsidRPr="00E86584">
        <w:rPr>
          <w:rFonts w:ascii="Times New Roman" w:hAnsi="Times New Roman" w:cs="Times New Roman"/>
        </w:rPr>
        <w:t xml:space="preserve"> </w:t>
      </w:r>
      <w:proofErr w:type="spellStart"/>
      <w:r w:rsidRPr="00E86584">
        <w:rPr>
          <w:rFonts w:ascii="Times New Roman" w:hAnsi="Times New Roman" w:cs="Times New Roman"/>
        </w:rPr>
        <w:t>кылат</w:t>
      </w:r>
      <w:proofErr w:type="spellEnd"/>
      <w:r w:rsidRPr="00E86584">
        <w:rPr>
          <w:rFonts w:ascii="Times New Roman" w:hAnsi="Times New Roman" w:cs="Times New Roman"/>
        </w:rPr>
        <w:t xml:space="preserve">. </w:t>
      </w:r>
    </w:p>
    <w:p w14:paraId="3D83DE16" w14:textId="77777777" w:rsidR="00C849E0" w:rsidRPr="00E86584" w:rsidRDefault="00C849E0" w:rsidP="00E865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2B90A" w14:textId="77777777" w:rsidR="00D87357" w:rsidRDefault="00E86584" w:rsidP="00041D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87357">
        <w:rPr>
          <w:sz w:val="22"/>
          <w:szCs w:val="22"/>
          <w:lang w:val="ky-KG"/>
        </w:rPr>
        <w:t>Кененир</w:t>
      </w:r>
      <w:r w:rsidR="00D87357" w:rsidRPr="00D87357">
        <w:rPr>
          <w:sz w:val="22"/>
          <w:szCs w:val="22"/>
          <w:lang w:val="ky-KG"/>
        </w:rPr>
        <w:t>ээ</w:t>
      </w:r>
      <w:r w:rsidRPr="00D87357">
        <w:rPr>
          <w:sz w:val="22"/>
          <w:szCs w:val="22"/>
          <w:lang w:val="ky-KG"/>
        </w:rPr>
        <w:t xml:space="preserve">к маалымат алуу </w:t>
      </w:r>
      <w:r w:rsidR="00041DCC" w:rsidRPr="00D87357">
        <w:rPr>
          <w:sz w:val="22"/>
          <w:szCs w:val="22"/>
          <w:lang w:val="ky-KG"/>
        </w:rPr>
        <w:t>жана интервью уюштуруу үчүн басма сөз катчысына кайрылыңыз:</w:t>
      </w:r>
      <w:r w:rsidR="002533D7" w:rsidRPr="00D87357">
        <w:rPr>
          <w:color w:val="000000"/>
          <w:sz w:val="22"/>
          <w:szCs w:val="22"/>
        </w:rPr>
        <w:t xml:space="preserve"> </w:t>
      </w:r>
    </w:p>
    <w:p w14:paraId="12A17494" w14:textId="5121A373" w:rsidR="002533D7" w:rsidRPr="002E2275" w:rsidRDefault="002533D7" w:rsidP="00041DC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87357">
        <w:rPr>
          <w:sz w:val="22"/>
          <w:szCs w:val="22"/>
        </w:rPr>
        <w:t>тел</w:t>
      </w:r>
      <w:r w:rsidRPr="002E2275">
        <w:rPr>
          <w:sz w:val="22"/>
          <w:szCs w:val="22"/>
          <w:lang w:val="en-US" w:eastAsia="en-US"/>
        </w:rPr>
        <w:t>.: + 996 (312) 625 747</w:t>
      </w:r>
    </w:p>
    <w:p w14:paraId="57021A38" w14:textId="77777777" w:rsidR="002533D7" w:rsidRDefault="002533D7" w:rsidP="002533D7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proofErr w:type="gramStart"/>
      <w:r w:rsidRPr="00D87357">
        <w:rPr>
          <w:rFonts w:ascii="Times New Roman" w:hAnsi="Times New Roman" w:cs="Times New Roman"/>
          <w:lang w:val="en-US"/>
        </w:rPr>
        <w:t>e-mail</w:t>
      </w:r>
      <w:proofErr w:type="gramEnd"/>
      <w:r w:rsidRPr="00D87357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D87357">
          <w:rPr>
            <w:rFonts w:ascii="Times New Roman" w:hAnsi="Times New Roman" w:cs="Times New Roman"/>
            <w:color w:val="0000FF"/>
            <w:u w:val="single"/>
            <w:lang w:val="en-US"/>
          </w:rPr>
          <w:t>smi_nsc@stat.kg</w:t>
        </w:r>
      </w:hyperlink>
      <w:r w:rsidRPr="00D87357">
        <w:rPr>
          <w:rFonts w:ascii="Times New Roman" w:hAnsi="Times New Roman" w:cs="Times New Roman"/>
          <w:color w:val="0000FF"/>
          <w:u w:val="single"/>
          <w:lang w:val="en-US"/>
        </w:rPr>
        <w:t>,</w:t>
      </w:r>
    </w:p>
    <w:p w14:paraId="5BB4ADFE" w14:textId="77777777" w:rsidR="00C849E0" w:rsidRPr="00D87357" w:rsidRDefault="00C849E0" w:rsidP="002533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6B4C8FD" w14:textId="61505EBA" w:rsidR="002533D7" w:rsidRPr="00D87357" w:rsidRDefault="00041DCC" w:rsidP="002533D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y-KG" w:eastAsia="ru-RU"/>
        </w:rPr>
      </w:pPr>
      <w:r w:rsidRPr="00D87357">
        <w:rPr>
          <w:rFonts w:ascii="Times New Roman" w:hAnsi="Times New Roman" w:cs="Times New Roman"/>
          <w:color w:val="000000"/>
          <w:lang w:val="ky-KG" w:eastAsia="ru-RU"/>
        </w:rPr>
        <w:t>Дареги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: </w:t>
      </w:r>
      <w:r w:rsidR="002533D7" w:rsidRPr="00D87357">
        <w:rPr>
          <w:rFonts w:ascii="Times New Roman" w:hAnsi="Times New Roman" w:cs="Times New Roman"/>
          <w:color w:val="000000"/>
          <w:lang w:eastAsia="ru-RU"/>
        </w:rPr>
        <w:t>Фрунзе</w:t>
      </w:r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көч.: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>374</w:t>
      </w:r>
      <w:proofErr w:type="gramEnd"/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 (</w:t>
      </w:r>
      <w:r w:rsidR="002533D7" w:rsidRPr="00D87357">
        <w:rPr>
          <w:rFonts w:ascii="Times New Roman" w:hAnsi="Times New Roman" w:cs="Times New Roman"/>
          <w:color w:val="000000"/>
          <w:lang w:eastAsia="ru-RU"/>
        </w:rPr>
        <w:t>Т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="002533D7" w:rsidRPr="00D87357">
        <w:rPr>
          <w:rFonts w:ascii="Times New Roman" w:hAnsi="Times New Roman" w:cs="Times New Roman"/>
          <w:color w:val="000000"/>
          <w:lang w:eastAsia="ru-RU"/>
        </w:rPr>
        <w:t>Молдо</w:t>
      </w:r>
      <w:proofErr w:type="spellEnd"/>
      <w:r w:rsidRPr="00D87357">
        <w:rPr>
          <w:rFonts w:ascii="Times New Roman" w:hAnsi="Times New Roman" w:cs="Times New Roman"/>
          <w:color w:val="000000"/>
          <w:lang w:val="ky-KG" w:eastAsia="ru-RU"/>
        </w:rPr>
        <w:t xml:space="preserve"> көчөсү кесилишет</w:t>
      </w:r>
      <w:r w:rsidR="002533D7" w:rsidRPr="00D87357">
        <w:rPr>
          <w:rFonts w:ascii="Times New Roman" w:hAnsi="Times New Roman" w:cs="Times New Roman"/>
          <w:color w:val="000000"/>
          <w:lang w:val="en-US" w:eastAsia="ru-RU"/>
        </w:rPr>
        <w:t>).</w:t>
      </w:r>
    </w:p>
    <w:p w14:paraId="608F41F0" w14:textId="77777777" w:rsidR="002533D7" w:rsidRPr="00D87357" w:rsidRDefault="002533D7" w:rsidP="002533D7">
      <w:pPr>
        <w:rPr>
          <w:rFonts w:ascii="Times New Roman" w:hAnsi="Times New Roman" w:cs="Times New Roman"/>
          <w:lang w:val="ky-KG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1642"/>
        <w:gridCol w:w="2587"/>
        <w:gridCol w:w="1033"/>
        <w:gridCol w:w="1235"/>
        <w:gridCol w:w="1716"/>
        <w:gridCol w:w="1656"/>
      </w:tblGrid>
      <w:tr w:rsidR="002533D7" w:rsidRPr="00BD634F" w14:paraId="126A3070" w14:textId="77777777" w:rsidTr="007E2449">
        <w:tc>
          <w:tcPr>
            <w:tcW w:w="869" w:type="pct"/>
            <w:shd w:val="clear" w:color="auto" w:fill="auto"/>
            <w:vAlign w:val="bottom"/>
          </w:tcPr>
          <w:p w14:paraId="72E17E95" w14:textId="52A44687" w:rsidR="002533D7" w:rsidRPr="00041DCC" w:rsidRDefault="00041DCC" w:rsidP="007F6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1DCC"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 xml:space="preserve">Биз </w:t>
            </w:r>
            <w:r w:rsidR="007F6540"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  <w:t>байланышта</w:t>
            </w:r>
            <w:r w:rsidR="002533D7" w:rsidRPr="00041DCC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1347" w:type="pct"/>
            <w:shd w:val="clear" w:color="auto" w:fill="auto"/>
            <w:vAlign w:val="bottom"/>
          </w:tcPr>
          <w:p w14:paraId="4FC217A2" w14:textId="77777777" w:rsidR="002533D7" w:rsidRPr="002E0A8F" w:rsidRDefault="00F12E73" w:rsidP="007E2449">
            <w:pPr>
              <w:jc w:val="right"/>
              <w:rPr>
                <w:rFonts w:ascii="Times New Roman" w:hAnsi="Times New Roman"/>
                <w:b/>
                <w:color w:val="1F4E79"/>
              </w:rPr>
            </w:pPr>
            <w:hyperlink r:id="rId10" w:history="1">
              <w:r w:rsidR="002533D7" w:rsidRPr="002E0A8F">
                <w:rPr>
                  <w:rStyle w:val="a4"/>
                  <w:rFonts w:ascii="Times New Roman" w:hAnsi="Times New Roman"/>
                  <w:color w:val="1F4E79"/>
                </w:rPr>
                <w:t>www.stat.kg</w:t>
              </w:r>
            </w:hyperlink>
            <w:r w:rsidR="002533D7" w:rsidRPr="002E0A8F">
              <w:rPr>
                <w:rFonts w:ascii="Times New Roman" w:hAnsi="Times New Roman"/>
                <w:color w:val="1F4E79"/>
              </w:rPr>
              <w:t>|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4118548" w14:textId="77777777" w:rsidR="002533D7" w:rsidRPr="00F40AC9" w:rsidRDefault="00F12E73" w:rsidP="007E2449">
            <w:pPr>
              <w:rPr>
                <w:rFonts w:ascii="Times New Roman" w:hAnsi="Times New Roman" w:cs="Times New Roman"/>
                <w:b/>
                <w:color w:val="1F4E79"/>
              </w:rPr>
            </w:pPr>
            <w:hyperlink r:id="rId11" w:history="1">
              <w:proofErr w:type="spellStart"/>
              <w:r w:rsidR="002533D7" w:rsidRPr="007E2449">
                <w:rPr>
                  <w:rStyle w:val="a4"/>
                  <w:rFonts w:ascii="Times New Roman" w:hAnsi="Times New Roman" w:cs="Times New Roman"/>
                  <w:color w:val="1F4E79"/>
                  <w:sz w:val="21"/>
                  <w:szCs w:val="21"/>
                  <w:shd w:val="clear" w:color="auto" w:fill="FFFFFF"/>
                </w:rPr>
                <w:t>Facebook</w:t>
              </w:r>
              <w:proofErr w:type="spellEnd"/>
            </w:hyperlink>
          </w:p>
        </w:tc>
        <w:tc>
          <w:tcPr>
            <w:tcW w:w="612" w:type="pct"/>
            <w:shd w:val="clear" w:color="auto" w:fill="auto"/>
            <w:vAlign w:val="bottom"/>
          </w:tcPr>
          <w:p w14:paraId="0F32F66C" w14:textId="77777777" w:rsidR="002533D7" w:rsidRPr="00BD634F" w:rsidRDefault="002533D7" w:rsidP="007E2449">
            <w:pPr>
              <w:rPr>
                <w:rFonts w:ascii="Times New Roman" w:hAnsi="Times New Roman"/>
                <w:b/>
              </w:rPr>
            </w:pPr>
            <w:r w:rsidRPr="00BD634F">
              <w:rPr>
                <w:rFonts w:ascii="Times New Roman" w:hAnsi="Times New Roman"/>
              </w:rPr>
              <w:t xml:space="preserve">тел.625747 </w:t>
            </w:r>
          </w:p>
        </w:tc>
        <w:tc>
          <w:tcPr>
            <w:tcW w:w="848" w:type="pct"/>
            <w:shd w:val="clear" w:color="auto" w:fill="auto"/>
            <w:vAlign w:val="bottom"/>
          </w:tcPr>
          <w:p w14:paraId="312449DA" w14:textId="77777777" w:rsidR="002533D7" w:rsidRPr="00BD634F" w:rsidRDefault="002533D7" w:rsidP="007E2449">
            <w:pPr>
              <w:rPr>
                <w:rFonts w:ascii="Times New Roman" w:hAnsi="Times New Roman"/>
                <w:b/>
              </w:rPr>
            </w:pPr>
            <w:r w:rsidRPr="002A3651">
              <w:rPr>
                <w:noProof/>
                <w:lang w:eastAsia="ru-RU"/>
              </w:rPr>
              <w:drawing>
                <wp:inline distT="0" distB="0" distL="0" distR="0" wp14:anchorId="4DC27C80" wp14:editId="392F0B80">
                  <wp:extent cx="950595" cy="289560"/>
                  <wp:effectExtent l="0" t="0" r="1905" b="0"/>
                  <wp:docPr id="2" name="Рисунок 2" descr="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" t="15628" r="6386" b="1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shd w:val="clear" w:color="auto" w:fill="auto"/>
            <w:vAlign w:val="bottom"/>
          </w:tcPr>
          <w:p w14:paraId="58320803" w14:textId="77777777" w:rsidR="002533D7" w:rsidRPr="00BD634F" w:rsidRDefault="002533D7" w:rsidP="007E244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8EE89" wp14:editId="0943F116">
                  <wp:extent cx="905510" cy="285115"/>
                  <wp:effectExtent l="0" t="0" r="8890" b="635"/>
                  <wp:docPr id="1" name="Рисунок 1" descr="apple_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_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5" b="10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D004C" w14:textId="77777777" w:rsidR="00562D35" w:rsidRDefault="00562D35" w:rsidP="00B062C2"/>
    <w:sectPr w:rsidR="00562D35" w:rsidSect="007E2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7"/>
    <w:rsid w:val="00010D6C"/>
    <w:rsid w:val="00041DCC"/>
    <w:rsid w:val="00076E25"/>
    <w:rsid w:val="001124CD"/>
    <w:rsid w:val="00214927"/>
    <w:rsid w:val="00214C1D"/>
    <w:rsid w:val="002533D7"/>
    <w:rsid w:val="002E2275"/>
    <w:rsid w:val="0047453D"/>
    <w:rsid w:val="00561398"/>
    <w:rsid w:val="00562D35"/>
    <w:rsid w:val="006558B5"/>
    <w:rsid w:val="006716C8"/>
    <w:rsid w:val="00695F3D"/>
    <w:rsid w:val="007F6540"/>
    <w:rsid w:val="0086638F"/>
    <w:rsid w:val="008B53C7"/>
    <w:rsid w:val="008B7F4A"/>
    <w:rsid w:val="00B062C2"/>
    <w:rsid w:val="00C174AD"/>
    <w:rsid w:val="00C52A0B"/>
    <w:rsid w:val="00C65E03"/>
    <w:rsid w:val="00C849E0"/>
    <w:rsid w:val="00D87357"/>
    <w:rsid w:val="00E45E28"/>
    <w:rsid w:val="00E86584"/>
    <w:rsid w:val="00F034EE"/>
    <w:rsid w:val="00F0509E"/>
    <w:rsid w:val="00F12E73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EEF0"/>
  <w15:chartTrackingRefBased/>
  <w15:docId w15:val="{204B128F-84B8-45EA-8597-ECAE01A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3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533D7"/>
    <w:rPr>
      <w:color w:val="0000FF"/>
      <w:u w:val="single"/>
    </w:rPr>
  </w:style>
  <w:style w:type="paragraph" w:styleId="a5">
    <w:name w:val="Plain Text"/>
    <w:basedOn w:val="a"/>
    <w:link w:val="a6"/>
    <w:semiHidden/>
    <w:rsid w:val="002533D7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a6">
    <w:name w:val="Текст Знак"/>
    <w:basedOn w:val="a0"/>
    <w:link w:val="a5"/>
    <w:semiHidden/>
    <w:rsid w:val="002533D7"/>
    <w:rPr>
      <w:rFonts w:ascii="Consolas" w:eastAsia="Times New Roman" w:hAnsi="Consolas" w:cs="Times New Roman"/>
      <w:sz w:val="21"/>
      <w:szCs w:val="21"/>
      <w:lang w:val="en-US"/>
    </w:rPr>
  </w:style>
  <w:style w:type="character" w:styleId="a7">
    <w:name w:val="annotation reference"/>
    <w:semiHidden/>
    <w:rsid w:val="002533D7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533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533D7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253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3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s://www.facebook.com/statcom.kg/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stat.k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mi_nsc@stat.kg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256198347107439E-2"/>
          <c:y val="9.5505617977528087E-2"/>
          <c:w val="0.96280991735537191"/>
          <c:h val="0.7415730337078652"/>
        </c:manualLayout>
      </c:layout>
      <c:bar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705936"/>
        <c:axId val="189710248"/>
      </c:barChart>
      <c:catAx>
        <c:axId val="189705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48553719008264462"/>
              <c:y val="0.9157303370786517"/>
            </c:manualLayout>
          </c:layout>
          <c:overlay val="0"/>
          <c:spPr>
            <a:noFill/>
            <a:ln w="25352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971024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89710248"/>
        <c:scaling>
          <c:orientation val="minMax"/>
          <c:max val="108"/>
          <c:min val="98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9705936"/>
        <c:crosses val="autoZero"/>
        <c:crossBetween val="between"/>
        <c:majorUnit val="2"/>
      </c:valAx>
      <c:spPr>
        <a:solidFill>
          <a:srgbClr val="FFFFFF"/>
        </a:solidFill>
        <a:ln w="2535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43243243243246E-2"/>
          <c:y val="6.9364161849710976E-2"/>
          <c:w val="0.95945945945945943"/>
          <c:h val="0.65895953757225434"/>
        </c:manualLayout>
      </c:layout>
      <c:bar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707112"/>
        <c:axId val="189707896"/>
      </c:barChart>
      <c:catAx>
        <c:axId val="189707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2017                                                                                                 2018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26756756756756755"/>
              <c:y val="0.81502890173410403"/>
            </c:manualLayout>
          </c:layout>
          <c:overlay val="0"/>
          <c:spPr>
            <a:noFill/>
            <a:ln w="25332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970789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189707896"/>
        <c:scaling>
          <c:orientation val="minMax"/>
          <c:max val="145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9707112"/>
        <c:crosses val="autoZero"/>
        <c:crossBetween val="between"/>
        <c:majorUnit val="5"/>
      </c:valAx>
      <c:spPr>
        <a:solidFill>
          <a:srgbClr val="FFFFFF"/>
        </a:solidFill>
        <a:ln w="2533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0.14197</cdr:x>
      <cdr:y>0</cdr:y>
    </cdr:from>
    <cdr:to>
      <cdr:x>0.88214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0" y="0"/>
          <a:ext cx="3476190" cy="17932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0.04485</cdr:x>
      <cdr:y>0</cdr:y>
    </cdr:from>
    <cdr:to>
      <cdr:x>0.99724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1925" y="0"/>
          <a:ext cx="3438095" cy="17399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9</cp:revision>
  <dcterms:created xsi:type="dcterms:W3CDTF">2018-11-03T08:42:00Z</dcterms:created>
  <dcterms:modified xsi:type="dcterms:W3CDTF">2018-11-14T13:42:00Z</dcterms:modified>
</cp:coreProperties>
</file>