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7795"/>
      </w:tblGrid>
      <w:tr w:rsidR="002533D7" w:rsidRPr="00F129EB" w14:paraId="542C207E" w14:textId="77777777" w:rsidTr="007E2449"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14:paraId="3644D903" w14:textId="77777777" w:rsidR="002533D7" w:rsidRPr="00F129EB" w:rsidRDefault="002533D7" w:rsidP="007E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16816" wp14:editId="3B62CCDD">
                  <wp:extent cx="778510" cy="778510"/>
                  <wp:effectExtent l="0" t="0" r="2540" b="2540"/>
                  <wp:docPr id="7" name="Рисунок 7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  <w:tcBorders>
              <w:bottom w:val="single" w:sz="4" w:space="0" w:color="auto"/>
            </w:tcBorders>
          </w:tcPr>
          <w:p w14:paraId="66A90C11" w14:textId="77777777" w:rsidR="00F0509E" w:rsidRPr="00FA4915" w:rsidRDefault="00F0509E" w:rsidP="00F0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ПРЕСС-РЕЛИЗ</w:t>
            </w:r>
          </w:p>
          <w:p w14:paraId="7E40D5A4" w14:textId="77777777" w:rsidR="00F0509E" w:rsidRPr="00631E65" w:rsidRDefault="00F0509E" w:rsidP="00F0509E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КЫРГЫЗ РЕСПУБЛИКАСЫНЫН УЛУТТУК </w:t>
            </w:r>
          </w:p>
          <w:p w14:paraId="1851033F" w14:textId="77777777" w:rsidR="00F0509E" w:rsidRPr="00631E65" w:rsidRDefault="00F0509E" w:rsidP="00F0509E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СТАТИСТИКАЛЫК КОМИТЕТИ</w:t>
            </w:r>
          </w:p>
          <w:p w14:paraId="414A22F6" w14:textId="77777777" w:rsidR="002533D7" w:rsidRPr="00F129EB" w:rsidRDefault="002533D7" w:rsidP="007E2449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  <w:r w:rsidRPr="00F129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  <w:r w:rsidRPr="00F129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  <w:r w:rsidRPr="00F129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5265A6D0" w14:textId="77777777" w:rsidR="00C174AD" w:rsidRDefault="00C174AD" w:rsidP="002533D7">
      <w:pPr>
        <w:pStyle w:val="a3"/>
        <w:shd w:val="clear" w:color="auto" w:fill="FFFFFF"/>
        <w:spacing w:before="240" w:beforeAutospacing="0" w:after="120" w:afterAutospacing="0"/>
        <w:jc w:val="center"/>
        <w:rPr>
          <w:b/>
          <w:bCs/>
          <w:sz w:val="27"/>
          <w:szCs w:val="27"/>
          <w:lang w:val="ky-KG"/>
        </w:rPr>
      </w:pPr>
    </w:p>
    <w:p w14:paraId="34C9922F" w14:textId="7F2F6106" w:rsidR="002533D7" w:rsidRPr="007E2449" w:rsidRDefault="00F0509E" w:rsidP="002533D7">
      <w:pPr>
        <w:pStyle w:val="a3"/>
        <w:shd w:val="clear" w:color="auto" w:fill="FFFFFF"/>
        <w:spacing w:before="240" w:beforeAutospacing="0" w:after="12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ky-KG"/>
        </w:rPr>
        <w:t>Республикада экономикалык өсүү тенденциясы белгиленди</w:t>
      </w:r>
    </w:p>
    <w:p w14:paraId="68E6BAA4" w14:textId="0097DDCE" w:rsidR="00F0509E" w:rsidRPr="00680E27" w:rsidRDefault="00F0509E" w:rsidP="00F050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2018-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>жылдын январ-</w:t>
      </w:r>
      <w:r w:rsidR="00C52A0B">
        <w:rPr>
          <w:rFonts w:ascii="Times New Roman" w:hAnsi="Times New Roman" w:cs="Times New Roman"/>
          <w:sz w:val="24"/>
          <w:szCs w:val="24"/>
          <w:lang w:val="ky-KG"/>
        </w:rPr>
        <w:t>сентябрында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D87357" w:rsidRPr="002161E6">
        <w:rPr>
          <w:rFonts w:ascii="Times New Roman" w:hAnsi="Times New Roman" w:cs="Times New Roman"/>
          <w:sz w:val="24"/>
          <w:szCs w:val="24"/>
          <w:lang w:val="ky-KG"/>
        </w:rPr>
        <w:t>алдын ала баалоолор боюнча,</w:t>
      </w:r>
      <w:r w:rsidR="00D8735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161E6">
        <w:rPr>
          <w:rFonts w:ascii="Times New Roman" w:hAnsi="Times New Roman" w:cs="Times New Roman"/>
          <w:b/>
          <w:sz w:val="24"/>
          <w:szCs w:val="24"/>
          <w:lang w:val="ky-KG"/>
        </w:rPr>
        <w:t>ички дүң продуктунун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көлөмү </w:t>
      </w:r>
      <w:r w:rsidR="00C52A0B">
        <w:rPr>
          <w:rFonts w:ascii="Times New Roman" w:hAnsi="Times New Roman" w:cs="Times New Roman"/>
          <w:sz w:val="24"/>
          <w:szCs w:val="24"/>
          <w:lang w:val="ky-KG"/>
        </w:rPr>
        <w:t>368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>
        <w:rPr>
          <w:rFonts w:ascii="Times New Roman" w:hAnsi="Times New Roman" w:cs="Times New Roman"/>
          <w:sz w:val="24"/>
          <w:szCs w:val="24"/>
          <w:lang w:val="ky-KG"/>
        </w:rPr>
        <w:t>ду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түзүп, мурунку жыл</w:t>
      </w:r>
      <w:r>
        <w:rPr>
          <w:rFonts w:ascii="Times New Roman" w:hAnsi="Times New Roman" w:cs="Times New Roman"/>
          <w:sz w:val="24"/>
          <w:szCs w:val="24"/>
          <w:lang w:val="ky-KG"/>
        </w:rPr>
        <w:t>дын ушул мезгилине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салыштырганда </w:t>
      </w:r>
      <w:r w:rsidR="00C52A0B" w:rsidRPr="00C52A0B">
        <w:rPr>
          <w:rFonts w:ascii="Times New Roman" w:hAnsi="Times New Roman" w:cs="Times New Roman"/>
          <w:b/>
          <w:sz w:val="24"/>
          <w:szCs w:val="24"/>
          <w:lang w:val="ky-KG"/>
        </w:rPr>
        <w:t>1,2</w:t>
      </w:r>
      <w:r w:rsidRPr="00680E2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</w:t>
      </w:r>
      <w:r w:rsidR="00C52A0B">
        <w:rPr>
          <w:rFonts w:ascii="Times New Roman" w:hAnsi="Times New Roman" w:cs="Times New Roman"/>
          <w:b/>
          <w:sz w:val="24"/>
          <w:szCs w:val="24"/>
          <w:lang w:val="ky-KG"/>
        </w:rPr>
        <w:t>өст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Pr="00680E27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</w:p>
    <w:p w14:paraId="76932481" w14:textId="134D6245" w:rsidR="00F0509E" w:rsidRPr="00C52A0B" w:rsidRDefault="00F0509E" w:rsidP="00F05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>“Кумтөр” кен казуу ишканаларын эсепке албаганда, ички дүң продукт</w:t>
      </w:r>
      <w:r w:rsidR="00D87357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ун көлөмү </w:t>
      </w:r>
      <w:r w:rsidR="00C52A0B">
        <w:rPr>
          <w:rFonts w:ascii="Times New Roman" w:hAnsi="Times New Roman" w:cs="Times New Roman"/>
          <w:sz w:val="24"/>
          <w:szCs w:val="24"/>
          <w:lang w:val="ky-KG"/>
        </w:rPr>
        <w:t>336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 миллиард сом</w:t>
      </w:r>
      <w:r w:rsidR="00C52A0B">
        <w:rPr>
          <w:rFonts w:ascii="Times New Roman" w:hAnsi="Times New Roman" w:cs="Times New Roman"/>
          <w:sz w:val="24"/>
          <w:szCs w:val="24"/>
          <w:lang w:val="ky-KG"/>
        </w:rPr>
        <w:t>ду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түзүп, </w:t>
      </w:r>
      <w:r w:rsidRPr="00C52A0B">
        <w:rPr>
          <w:rFonts w:ascii="Times New Roman" w:hAnsi="Times New Roman" w:cs="Times New Roman"/>
          <w:b/>
          <w:sz w:val="24"/>
          <w:szCs w:val="24"/>
          <w:lang w:val="ky-KG"/>
        </w:rPr>
        <w:t>2,</w:t>
      </w:r>
      <w:r w:rsidR="00C52A0B" w:rsidRPr="00C52A0B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Pr="00C52A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өстү.</w:t>
      </w:r>
    </w:p>
    <w:p w14:paraId="05EC5D88" w14:textId="77777777" w:rsidR="00F0509E" w:rsidRPr="002161E6" w:rsidRDefault="00F0509E" w:rsidP="00F05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F4E1FFB" w14:textId="26276CA6" w:rsidR="002533D7" w:rsidRPr="00C52A0B" w:rsidRDefault="00C52A0B" w:rsidP="002533D7">
      <w:pPr>
        <w:spacing w:after="120"/>
        <w:ind w:firstLine="709"/>
        <w:jc w:val="center"/>
        <w:rPr>
          <w:rFonts w:ascii="Times New Roman" w:hAnsi="Times New Roman" w:cs="Times New Roman"/>
          <w:lang w:val="ky-KG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  <w:lang w:val="ky-KG"/>
        </w:rPr>
        <w:t>Ички дүң</w:t>
      </w:r>
      <w:r w:rsidR="002533D7" w:rsidRPr="00C52A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продукт</w:t>
      </w:r>
      <w:r w:rsidR="002533D7" w:rsidRPr="00C52A0B">
        <w:rPr>
          <w:rFonts w:ascii="Times New Roman" w:hAnsi="Times New Roman" w:cs="Times New Roman"/>
          <w:sz w:val="24"/>
          <w:szCs w:val="24"/>
          <w:lang w:val="ky-KG"/>
        </w:rPr>
        <w:br/>
      </w:r>
      <w:r w:rsidR="002533D7" w:rsidRPr="00C52A0B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өткөн жылдын ушул мезгилине салыштырмалуу, пайыздарда</w:t>
      </w:r>
      <w:r w:rsidR="002533D7" w:rsidRPr="00C52A0B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14:paraId="732DE5EE" w14:textId="77777777" w:rsidR="002533D7" w:rsidRPr="000F6D86" w:rsidRDefault="002533D7" w:rsidP="002533D7">
      <w:pPr>
        <w:jc w:val="center"/>
      </w:pPr>
      <w:r w:rsidRPr="000F6D86">
        <w:rPr>
          <w:noProof/>
          <w:lang w:eastAsia="ru-RU"/>
        </w:rPr>
        <w:drawing>
          <wp:inline distT="0" distB="0" distL="0" distR="0" wp14:anchorId="585A0EF4" wp14:editId="11FC8A39">
            <wp:extent cx="3639185" cy="165671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DC79C9C" w14:textId="514421AE" w:rsidR="00561398" w:rsidRPr="002161E6" w:rsidRDefault="0047453D" w:rsidP="00561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="00561398" w:rsidRPr="002161E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нөр жай </w:t>
      </w:r>
      <w:r w:rsidR="00561398" w:rsidRPr="00C44995">
        <w:rPr>
          <w:rFonts w:ascii="Times New Roman" w:hAnsi="Times New Roman" w:cs="Times New Roman"/>
          <w:b/>
          <w:sz w:val="24"/>
          <w:szCs w:val="24"/>
          <w:lang w:val="ky-KG"/>
        </w:rPr>
        <w:t>продукцияларынын көлөмү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201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>-жылдын январ-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>сентябрында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>168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>ду түзүп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, мурунку жылга салыштырмалуу </w:t>
      </w:r>
      <w:r w:rsidR="00561398" w:rsidRPr="00561398">
        <w:rPr>
          <w:rFonts w:ascii="Times New Roman" w:hAnsi="Times New Roman" w:cs="Times New Roman"/>
          <w:b/>
          <w:sz w:val="24"/>
          <w:szCs w:val="24"/>
          <w:lang w:val="ky-KG"/>
        </w:rPr>
        <w:t>4,7</w:t>
      </w:r>
      <w:r w:rsidR="00561398" w:rsidRPr="00C4499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төмөндөдү. 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Өнөр жай өндүрүшүнүн көлөмдөрүнүн 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>төмөндө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шү 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>металл рудаларын</w:t>
      </w:r>
      <w:r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 xml:space="preserve"> (65,9 пайызга) жана баалуу металлдарды</w:t>
      </w:r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 xml:space="preserve"> (8,9 пайызга) көлөмдөрүнүн төмөндөшү менен шартталды. Ушуну менен бир катарда, кийим, текстил өндүрүшүндө, мунайзат, резиналык жана пластмассалык жасалгаларды жана </w:t>
      </w:r>
      <w:r>
        <w:rPr>
          <w:rFonts w:ascii="Times New Roman" w:hAnsi="Times New Roman" w:cs="Times New Roman"/>
          <w:sz w:val="24"/>
          <w:szCs w:val="24"/>
          <w:lang w:val="ky-KG"/>
        </w:rPr>
        <w:t>курулуш материалдарын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 xml:space="preserve"> өндүрүүдө өсүү камсыздалган.</w:t>
      </w:r>
    </w:p>
    <w:p w14:paraId="5CBD4D75" w14:textId="24205681" w:rsidR="002533D7" w:rsidRPr="0047453D" w:rsidRDefault="0047453D" w:rsidP="002533D7">
      <w:pPr>
        <w:shd w:val="clear" w:color="auto" w:fill="FFFFFF"/>
        <w:spacing w:before="120" w:after="0"/>
        <w:ind w:right="142"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2161E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нөр жай 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>продукцияларынын көлөмү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533D7" w:rsidRPr="0047453D">
        <w:rPr>
          <w:rFonts w:ascii="Times New Roman" w:hAnsi="Times New Roman" w:cs="Times New Roman"/>
          <w:sz w:val="24"/>
          <w:szCs w:val="24"/>
          <w:lang w:val="ky-KG"/>
        </w:rPr>
        <w:br/>
      </w:r>
      <w:r w:rsidR="002533D7" w:rsidRPr="0047453D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өткөн жылдын ушул мезгилине салыштырмалуу, пайыздарда</w:t>
      </w:r>
      <w:r w:rsidR="002533D7" w:rsidRPr="0047453D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14:paraId="65516E4C" w14:textId="77777777" w:rsidR="002533D7" w:rsidRDefault="002533D7" w:rsidP="002533D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0F6D86">
        <w:rPr>
          <w:noProof/>
          <w:lang w:eastAsia="ru-RU"/>
        </w:rPr>
        <w:drawing>
          <wp:inline distT="0" distB="0" distL="0" distR="0" wp14:anchorId="204F6F8C" wp14:editId="2277023D">
            <wp:extent cx="3612515" cy="173799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CB315E" w14:textId="3EC25891" w:rsidR="0047453D" w:rsidRDefault="0047453D" w:rsidP="0047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Айыл чарбасында 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реалдуу өсүү </w:t>
      </w:r>
      <w:r w:rsidR="00076E25">
        <w:rPr>
          <w:rFonts w:ascii="Times New Roman" w:hAnsi="Times New Roman" w:cs="Times New Roman"/>
          <w:b/>
          <w:sz w:val="24"/>
          <w:szCs w:val="24"/>
          <w:lang w:val="ky-KG"/>
        </w:rPr>
        <w:t>2,4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пайызды, курулушта өсүү </w:t>
      </w:r>
      <w:r w:rsidR="00076E25">
        <w:rPr>
          <w:rFonts w:ascii="Times New Roman" w:hAnsi="Times New Roman" w:cs="Times New Roman"/>
          <w:b/>
          <w:sz w:val="24"/>
          <w:szCs w:val="24"/>
          <w:lang w:val="ky-KG"/>
        </w:rPr>
        <w:t>7,2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ошондой эле 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>дүң жана чекене соодада өсүү 5,</w:t>
      </w:r>
      <w:r w:rsidR="00076E25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 түзүп</w:t>
      </w:r>
      <w:r>
        <w:rPr>
          <w:rFonts w:ascii="Times New Roman" w:hAnsi="Times New Roman" w:cs="Times New Roman"/>
          <w:sz w:val="24"/>
          <w:szCs w:val="24"/>
          <w:lang w:val="ky-KG"/>
        </w:rPr>
        <w:t>, оң тенденциялар байкалган.</w:t>
      </w:r>
    </w:p>
    <w:p w14:paraId="2431A1CA" w14:textId="77F74CAC" w:rsidR="0047453D" w:rsidRDefault="0047453D" w:rsidP="0047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>201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>-жылдын январ-</w:t>
      </w:r>
      <w:r w:rsidR="00076E25">
        <w:rPr>
          <w:rFonts w:ascii="Times New Roman" w:hAnsi="Times New Roman" w:cs="Times New Roman"/>
          <w:sz w:val="24"/>
          <w:szCs w:val="24"/>
          <w:lang w:val="ky-KG"/>
        </w:rPr>
        <w:t>сентябры</w:t>
      </w:r>
      <w:r w:rsidR="00E45E28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ky-KG"/>
        </w:rPr>
        <w:t>(өткөн жылдын декабрына салыштырмалуу) жалпысынан республика боюнча керектөө бааларынын 1,</w:t>
      </w:r>
      <w:r w:rsidR="00076E25">
        <w:rPr>
          <w:rFonts w:ascii="Times New Roman" w:hAnsi="Times New Roman" w:cs="Times New Roman"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пайызга төмөндөөсү (дефляция) байкалган. 2017-жылдын январ-</w:t>
      </w:r>
      <w:r w:rsidR="00076E25">
        <w:rPr>
          <w:rFonts w:ascii="Times New Roman" w:hAnsi="Times New Roman" w:cs="Times New Roman"/>
          <w:sz w:val="24"/>
          <w:szCs w:val="24"/>
          <w:lang w:val="ky-KG"/>
        </w:rPr>
        <w:t>сентябры</w:t>
      </w:r>
      <w:r>
        <w:rPr>
          <w:rFonts w:ascii="Times New Roman" w:hAnsi="Times New Roman" w:cs="Times New Roman"/>
          <w:sz w:val="24"/>
          <w:szCs w:val="24"/>
          <w:lang w:val="ky-KG"/>
        </w:rPr>
        <w:t>нда керектөө секторунда инфляциянын деңгээли 1,</w:t>
      </w:r>
      <w:r w:rsidR="00076E25">
        <w:rPr>
          <w:rFonts w:ascii="Times New Roman" w:hAnsi="Times New Roman" w:cs="Times New Roman"/>
          <w:sz w:val="24"/>
          <w:szCs w:val="24"/>
          <w:lang w:val="ky-KG"/>
        </w:rPr>
        <w:t>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пайызды түзгөн эле.</w:t>
      </w:r>
    </w:p>
    <w:p w14:paraId="3CABB7AB" w14:textId="0D05B10B" w:rsidR="00076E25" w:rsidRDefault="00076E25" w:rsidP="0007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Жыл башынан бери керектөө товарларына жана кызматтарына баалар республиканын бардык региондорунда төмөндөөсү байкалган,</w:t>
      </w:r>
      <w:r w:rsidR="00695F3D">
        <w:rPr>
          <w:rFonts w:ascii="Times New Roman" w:hAnsi="Times New Roman" w:cs="Times New Roman"/>
          <w:sz w:val="24"/>
          <w:szCs w:val="24"/>
          <w:lang w:val="ky-KG"/>
        </w:rPr>
        <w:t xml:space="preserve"> ошол эле мезгилде баалар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Нарын облусунда 1,4 пайызга </w:t>
      </w:r>
      <w:r w:rsidR="00695F3D">
        <w:rPr>
          <w:rFonts w:ascii="Times New Roman" w:hAnsi="Times New Roman" w:cs="Times New Roman"/>
          <w:sz w:val="24"/>
          <w:szCs w:val="24"/>
          <w:lang w:val="ky-KG"/>
        </w:rPr>
        <w:t>жана Ош облусунда 0,3 пайызга жогорула</w:t>
      </w:r>
      <w:r>
        <w:rPr>
          <w:rFonts w:ascii="Times New Roman" w:hAnsi="Times New Roman" w:cs="Times New Roman"/>
          <w:sz w:val="24"/>
          <w:szCs w:val="24"/>
          <w:lang w:val="ky-KG"/>
        </w:rPr>
        <w:t>ган.</w:t>
      </w:r>
    </w:p>
    <w:p w14:paraId="22B20153" w14:textId="77777777" w:rsidR="00076E25" w:rsidRDefault="00076E25" w:rsidP="0007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828790D" w14:textId="6DF6BB1E" w:rsidR="00695F3D" w:rsidRDefault="00695F3D" w:rsidP="00695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C1437">
        <w:rPr>
          <w:rFonts w:ascii="Times New Roman" w:hAnsi="Times New Roman" w:cs="Times New Roman"/>
          <w:sz w:val="24"/>
          <w:szCs w:val="24"/>
          <w:lang w:val="ky-KG"/>
        </w:rPr>
        <w:t>2018-жылдын январ-</w:t>
      </w:r>
      <w:r w:rsidR="00FD0708">
        <w:rPr>
          <w:rFonts w:ascii="Times New Roman" w:hAnsi="Times New Roman" w:cs="Times New Roman"/>
          <w:sz w:val="24"/>
          <w:szCs w:val="24"/>
          <w:lang w:val="ky-KG"/>
        </w:rPr>
        <w:t>августун</w:t>
      </w:r>
      <w:r w:rsidRPr="00AC1437">
        <w:rPr>
          <w:rFonts w:ascii="Times New Roman" w:hAnsi="Times New Roman" w:cs="Times New Roman"/>
          <w:sz w:val="24"/>
          <w:szCs w:val="24"/>
          <w:lang w:val="ky-KG"/>
        </w:rPr>
        <w:t xml:space="preserve">да, </w:t>
      </w:r>
      <w:r w:rsidRPr="00AC1437">
        <w:rPr>
          <w:rFonts w:ascii="Times New Roman" w:hAnsi="Times New Roman" w:cs="Times New Roman"/>
          <w:b/>
          <w:sz w:val="24"/>
          <w:szCs w:val="24"/>
          <w:lang w:val="ky-KG"/>
        </w:rPr>
        <w:t>тышкы соода жүгүртүүнүн көлөмү</w:t>
      </w:r>
      <w:r w:rsidRPr="00AC143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D0708">
        <w:rPr>
          <w:rFonts w:ascii="Times New Roman" w:hAnsi="Times New Roman" w:cs="Times New Roman"/>
          <w:sz w:val="24"/>
          <w:szCs w:val="24"/>
          <w:lang w:val="ky-KG"/>
        </w:rPr>
        <w:t>4,3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миллиард</w:t>
      </w:r>
      <w:r w:rsidRPr="00AC1437">
        <w:rPr>
          <w:rFonts w:ascii="Times New Roman" w:hAnsi="Times New Roman" w:cs="Times New Roman"/>
          <w:sz w:val="24"/>
          <w:szCs w:val="24"/>
          <w:lang w:val="ky-KG"/>
        </w:rPr>
        <w:t xml:space="preserve"> АКШ долларын түзүп, өткөн жылдын ушул мезгилине салыштырмалуу </w:t>
      </w:r>
      <w:r w:rsidR="00FD0708">
        <w:rPr>
          <w:rFonts w:ascii="Times New Roman" w:hAnsi="Times New Roman" w:cs="Times New Roman"/>
          <w:sz w:val="24"/>
          <w:szCs w:val="24"/>
          <w:lang w:val="ky-KG"/>
        </w:rPr>
        <w:t>9,5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жогорулаган.</w:t>
      </w:r>
      <w:r w:rsidRPr="00AC1437">
        <w:rPr>
          <w:rFonts w:ascii="Times New Roman" w:hAnsi="Times New Roman" w:cs="Times New Roman"/>
          <w:sz w:val="24"/>
          <w:szCs w:val="24"/>
          <w:lang w:val="ky-KG"/>
        </w:rPr>
        <w:t xml:space="preserve"> Мунун ичинде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экспорттук операциялар </w:t>
      </w:r>
      <w:r w:rsidR="00FD070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4,9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төмөндөгөн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, ал эми импорттук келип түшүүлөр </w:t>
      </w:r>
      <w:r w:rsidR="00FD0708">
        <w:rPr>
          <w:rFonts w:ascii="Times New Roman" w:hAnsi="Times New Roman" w:cs="Times New Roman"/>
          <w:b/>
          <w:sz w:val="24"/>
          <w:szCs w:val="24"/>
          <w:lang w:val="ky-KG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,0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өскөн.</w:t>
      </w:r>
    </w:p>
    <w:p w14:paraId="20BD4E02" w14:textId="77777777" w:rsidR="00C174AD" w:rsidRPr="00535611" w:rsidRDefault="00C174AD" w:rsidP="00695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2974438" w14:textId="77777777" w:rsidR="00C174AD" w:rsidRDefault="00695F3D" w:rsidP="006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35611">
        <w:rPr>
          <w:rFonts w:ascii="Times New Roman" w:hAnsi="Times New Roman" w:cs="Times New Roman"/>
          <w:sz w:val="24"/>
          <w:szCs w:val="24"/>
          <w:lang w:val="ky-KG"/>
        </w:rPr>
        <w:t>2018-жылдын январ-</w:t>
      </w:r>
      <w:r w:rsidR="00FD0708">
        <w:rPr>
          <w:rFonts w:ascii="Times New Roman" w:hAnsi="Times New Roman" w:cs="Times New Roman"/>
          <w:sz w:val="24"/>
          <w:szCs w:val="24"/>
          <w:lang w:val="ky-KG"/>
        </w:rPr>
        <w:t>августун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да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>ЕАЭБ мүчө-мамлекеттери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>менен өз ара сооданын көлөмү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1,</w:t>
      </w:r>
      <w:r w:rsidR="00FD0708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y-KG"/>
        </w:rPr>
        <w:t>ил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>л</w:t>
      </w:r>
      <w:r>
        <w:rPr>
          <w:rFonts w:ascii="Times New Roman" w:hAnsi="Times New Roman" w:cs="Times New Roman"/>
          <w:sz w:val="24"/>
          <w:szCs w:val="24"/>
          <w:lang w:val="ky-KG"/>
        </w:rPr>
        <w:t>иард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АКШ долларын түзүп, 2017-жылдын ушул мезгилине салыштырганда </w:t>
      </w:r>
      <w:r w:rsidR="00214927">
        <w:rPr>
          <w:rFonts w:ascii="Times New Roman" w:hAnsi="Times New Roman" w:cs="Times New Roman"/>
          <w:sz w:val="24"/>
          <w:szCs w:val="24"/>
          <w:lang w:val="ky-KG"/>
        </w:rPr>
        <w:t>3,5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пайызга </w:t>
      </w:r>
      <w:r w:rsidR="00214927">
        <w:rPr>
          <w:rFonts w:ascii="Times New Roman" w:hAnsi="Times New Roman" w:cs="Times New Roman"/>
          <w:sz w:val="24"/>
          <w:szCs w:val="24"/>
          <w:lang w:val="ky-KG"/>
        </w:rPr>
        <w:t>төмөндөгөн</w:t>
      </w:r>
      <w:r w:rsidRPr="00535611"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Мунун ичинде, </w:t>
      </w:r>
      <w:r w:rsidR="00214927"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экспорт – </w:t>
      </w:r>
      <w:r w:rsidR="00214927">
        <w:rPr>
          <w:rFonts w:ascii="Times New Roman" w:hAnsi="Times New Roman" w:cs="Times New Roman"/>
          <w:sz w:val="24"/>
          <w:szCs w:val="24"/>
          <w:lang w:val="ky-KG"/>
        </w:rPr>
        <w:t>5,2</w:t>
      </w:r>
      <w:r w:rsidR="00214927"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пайызга өскөн</w:t>
      </w:r>
      <w:r w:rsidR="00214927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214927" w:rsidRPr="00535611">
        <w:rPr>
          <w:rFonts w:ascii="Times New Roman" w:hAnsi="Times New Roman" w:cs="Times New Roman"/>
          <w:sz w:val="24"/>
          <w:szCs w:val="24"/>
          <w:lang w:val="ky-KG"/>
        </w:rPr>
        <w:t>ал эми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импорт – </w:t>
      </w:r>
      <w:r w:rsidR="00214927">
        <w:rPr>
          <w:rFonts w:ascii="Times New Roman" w:hAnsi="Times New Roman" w:cs="Times New Roman"/>
          <w:sz w:val="24"/>
          <w:szCs w:val="24"/>
          <w:lang w:val="ky-KG"/>
        </w:rPr>
        <w:t>6,2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пайызга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төмөндөгөн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14:paraId="33B8C05D" w14:textId="3020FE19" w:rsidR="00695F3D" w:rsidRDefault="00695F3D" w:rsidP="006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770F">
        <w:rPr>
          <w:rFonts w:ascii="Times New Roman" w:hAnsi="Times New Roman" w:cs="Times New Roman"/>
          <w:sz w:val="24"/>
          <w:szCs w:val="24"/>
          <w:lang w:val="ky-KG"/>
        </w:rPr>
        <w:t>ЕАЭБ мүчө-мамлекеттери менен өз ара соодада эң көп үлүш Россияга  (6</w:t>
      </w: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21770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14927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21770F">
        <w:rPr>
          <w:rFonts w:ascii="Times New Roman" w:hAnsi="Times New Roman" w:cs="Times New Roman"/>
          <w:sz w:val="24"/>
          <w:szCs w:val="24"/>
          <w:lang w:val="ky-KG"/>
        </w:rPr>
        <w:t xml:space="preserve"> пайызы) жана Казакстанга (3</w:t>
      </w:r>
      <w:r w:rsidR="00214927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21770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14927"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21770F">
        <w:rPr>
          <w:rFonts w:ascii="Times New Roman" w:hAnsi="Times New Roman" w:cs="Times New Roman"/>
          <w:sz w:val="24"/>
          <w:szCs w:val="24"/>
          <w:lang w:val="ky-KG"/>
        </w:rPr>
        <w:t xml:space="preserve"> пайызы) туура келген. </w:t>
      </w:r>
    </w:p>
    <w:p w14:paraId="33FE5493" w14:textId="77777777" w:rsidR="00214927" w:rsidRPr="00214927" w:rsidRDefault="00214927" w:rsidP="00253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2" w:name="_GoBack"/>
      <w:bookmarkEnd w:id="2"/>
    </w:p>
    <w:p w14:paraId="1418E0B1" w14:textId="4E5FFCFB" w:rsidR="002533D7" w:rsidRPr="00E86584" w:rsidRDefault="00E86584" w:rsidP="002533D7">
      <w:pPr>
        <w:spacing w:after="120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ky-KG"/>
        </w:rPr>
      </w:pP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>ЕАЭБ мүчө-мамлекеттери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менен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өз ара соодасы</w:t>
      </w:r>
      <w:r w:rsidR="002533D7" w:rsidRPr="00E86584">
        <w:rPr>
          <w:rFonts w:ascii="Times New Roman" w:hAnsi="Times New Roman" w:cs="Times New Roman"/>
          <w:sz w:val="24"/>
          <w:szCs w:val="24"/>
          <w:lang w:val="ky-KG"/>
        </w:rPr>
        <w:br/>
      </w:r>
      <w:r w:rsidR="002533D7" w:rsidRPr="00E86584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өткөн жылдын ушул мезгилине салыштырмалуу, пайыздарда</w:t>
      </w:r>
      <w:r w:rsidR="002533D7" w:rsidRPr="00E86584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14:paraId="1970AEAF" w14:textId="77777777" w:rsidR="002533D7" w:rsidRPr="00F40AC9" w:rsidRDefault="002533D7" w:rsidP="002533D7">
      <w:pPr>
        <w:spacing w:after="12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86584">
        <w:rPr>
          <w:rFonts w:ascii="Times New Roman" w:hAnsi="Times New Roman" w:cs="Times New Roman"/>
          <w:b/>
          <w:i/>
          <w:sz w:val="20"/>
          <w:szCs w:val="20"/>
          <w:lang w:val="ky-KG"/>
        </w:rPr>
        <w:t xml:space="preserve">              </w:t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>Импорт</w:t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  <w:t>Экспорт</w:t>
      </w:r>
      <w:r w:rsidRPr="00F40AC9" w:rsidDel="00E360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5102" w:type="pct"/>
        <w:tblLook w:val="01E0" w:firstRow="1" w:lastRow="1" w:firstColumn="1" w:lastColumn="1" w:noHBand="0" w:noVBand="0"/>
      </w:tblPr>
      <w:tblGrid>
        <w:gridCol w:w="10244"/>
        <w:gridCol w:w="222"/>
      </w:tblGrid>
      <w:tr w:rsidR="002533D7" w:rsidRPr="000F6D86" w14:paraId="78B41D0E" w14:textId="77777777" w:rsidTr="007E2449">
        <w:trPr>
          <w:trHeight w:val="2662"/>
        </w:trPr>
        <w:tc>
          <w:tcPr>
            <w:tcW w:w="2594" w:type="pct"/>
          </w:tcPr>
          <w:tbl>
            <w:tblPr>
              <w:tblW w:w="5437" w:type="pct"/>
              <w:tblLook w:val="01E0" w:firstRow="1" w:lastRow="1" w:firstColumn="1" w:lastColumn="1" w:noHBand="0" w:noVBand="0"/>
            </w:tblPr>
            <w:tblGrid>
              <w:gridCol w:w="5445"/>
              <w:gridCol w:w="5459"/>
            </w:tblGrid>
            <w:tr w:rsidR="002E2275" w:rsidRPr="000F6D86" w14:paraId="558CB99C" w14:textId="77777777" w:rsidTr="00CD0EA7">
              <w:trPr>
                <w:trHeight w:val="2727"/>
              </w:trPr>
              <w:tc>
                <w:tcPr>
                  <w:tcW w:w="2497" w:type="pct"/>
                </w:tcPr>
                <w:p w14:paraId="174489F2" w14:textId="3EB44DF0" w:rsidR="002E2275" w:rsidRPr="000F6D86" w:rsidRDefault="002E2275" w:rsidP="002E2275">
                  <w:r w:rsidRPr="000F6D86">
                    <w:rPr>
                      <w:noProof/>
                      <w:lang w:eastAsia="ru-RU"/>
                    </w:rPr>
                    <w:drawing>
                      <wp:inline distT="0" distB="0" distL="0" distR="0" wp14:anchorId="23659803" wp14:editId="50D60CC2">
                        <wp:extent cx="3212465" cy="1823085"/>
                        <wp:effectExtent l="0" t="0" r="0" b="0"/>
                        <wp:docPr id="9" name="Диаграмма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3" w:type="pct"/>
                  <w:shd w:val="clear" w:color="auto" w:fill="auto"/>
                </w:tcPr>
                <w:p w14:paraId="3B6CBC9D" w14:textId="53BAAE37" w:rsidR="002E2275" w:rsidRPr="000F6D86" w:rsidRDefault="002E2275" w:rsidP="002E2275">
                  <w:r w:rsidRPr="000F6D86">
                    <w:rPr>
                      <w:noProof/>
                      <w:lang w:eastAsia="ru-RU"/>
                    </w:rPr>
                    <w:drawing>
                      <wp:inline distT="0" distB="0" distL="0" distR="0" wp14:anchorId="0B856370" wp14:editId="0DB63ED1">
                        <wp:extent cx="2881123" cy="1567543"/>
                        <wp:effectExtent l="0" t="0" r="0" b="0"/>
                        <wp:docPr id="8" name="Диаграмма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EA34E3" w14:textId="1465E096" w:rsidR="002533D7" w:rsidRPr="000F6D86" w:rsidRDefault="002533D7" w:rsidP="007E2449"/>
        </w:tc>
        <w:tc>
          <w:tcPr>
            <w:tcW w:w="2406" w:type="pct"/>
            <w:shd w:val="clear" w:color="auto" w:fill="auto"/>
          </w:tcPr>
          <w:p w14:paraId="3DFB9C9E" w14:textId="124CFF59" w:rsidR="002533D7" w:rsidRPr="000F6D86" w:rsidRDefault="002533D7" w:rsidP="007E2449"/>
        </w:tc>
      </w:tr>
    </w:tbl>
    <w:bookmarkEnd w:id="0"/>
    <w:bookmarkEnd w:id="1"/>
    <w:p w14:paraId="30CBA31D" w14:textId="77777777" w:rsidR="002533D7" w:rsidRPr="00D46100" w:rsidRDefault="002533D7" w:rsidP="002533D7">
      <w:pPr>
        <w:spacing w:before="120"/>
        <w:jc w:val="center"/>
        <w:rPr>
          <w:rFonts w:cs="Times New Roman"/>
          <w:b/>
          <w:bCs/>
          <w:i/>
          <w:iCs/>
        </w:rPr>
      </w:pPr>
      <w:r w:rsidRPr="007E2449">
        <w:t>****</w:t>
      </w:r>
    </w:p>
    <w:p w14:paraId="40D69AE4" w14:textId="0D2D3D61" w:rsidR="00E86584" w:rsidRPr="00E86584" w:rsidRDefault="00E86584" w:rsidP="00E865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86584">
        <w:rPr>
          <w:rFonts w:ascii="Times New Roman" w:hAnsi="Times New Roman" w:cs="Times New Roman"/>
        </w:rPr>
        <w:t>Кыргыз Республикасынын улуттук маалыматтык-статистикалык тутуму өлкөдөгү маанилүү</w:t>
      </w:r>
      <w:r w:rsidRPr="00E86584">
        <w:rPr>
          <w:rFonts w:ascii="Times New Roman" w:hAnsi="Times New Roman" w:cs="Times New Roman"/>
          <w:lang w:val="ky-KG"/>
        </w:rPr>
        <w:t xml:space="preserve"> </w:t>
      </w:r>
      <w:r w:rsidRPr="00E86584">
        <w:rPr>
          <w:rFonts w:ascii="Times New Roman" w:hAnsi="Times New Roman" w:cs="Times New Roman"/>
        </w:rPr>
        <w:t>маалыматтык тутумдардын бири катары базар экономикасынын заманбап талаптарына жооп</w:t>
      </w:r>
      <w:r w:rsidRPr="00E86584">
        <w:rPr>
          <w:rFonts w:ascii="Times New Roman" w:hAnsi="Times New Roman" w:cs="Times New Roman"/>
          <w:lang w:val="ky-KG"/>
        </w:rPr>
        <w:t xml:space="preserve"> </w:t>
      </w:r>
      <w:r w:rsidRPr="00E86584">
        <w:rPr>
          <w:rFonts w:ascii="Times New Roman" w:hAnsi="Times New Roman" w:cs="Times New Roman"/>
        </w:rPr>
        <w:t>берет, мамлекеттик бийлик органдарын жана коомчулукту республиканын социалдык,</w:t>
      </w:r>
      <w:r w:rsidRPr="00E86584">
        <w:rPr>
          <w:rFonts w:ascii="Times New Roman" w:hAnsi="Times New Roman" w:cs="Times New Roman"/>
          <w:lang w:val="ky-KG"/>
        </w:rPr>
        <w:t xml:space="preserve">  </w:t>
      </w:r>
      <w:r w:rsidRPr="00E86584">
        <w:rPr>
          <w:rFonts w:ascii="Times New Roman" w:hAnsi="Times New Roman" w:cs="Times New Roman"/>
        </w:rPr>
        <w:t>кономикалык, демографиялык жана экологиялык абалы жөнүндө статистикалык байкоо, иштеп</w:t>
      </w:r>
      <w:r w:rsidRPr="00E86584">
        <w:rPr>
          <w:rFonts w:ascii="Times New Roman" w:hAnsi="Times New Roman" w:cs="Times New Roman"/>
          <w:lang w:val="ky-KG"/>
        </w:rPr>
        <w:t xml:space="preserve"> </w:t>
      </w:r>
      <w:r w:rsidRPr="00E86584">
        <w:rPr>
          <w:rFonts w:ascii="Times New Roman" w:hAnsi="Times New Roman" w:cs="Times New Roman"/>
        </w:rPr>
        <w:t>чыгуу жана статистикалык маалыматтарды таратуунун жаңы методдоруна негизделген, эл аралык</w:t>
      </w:r>
      <w:r w:rsidR="00D87357">
        <w:rPr>
          <w:rFonts w:ascii="Times New Roman" w:hAnsi="Times New Roman" w:cs="Times New Roman"/>
          <w:lang w:val="ky-KG"/>
        </w:rPr>
        <w:t xml:space="preserve"> </w:t>
      </w:r>
      <w:r w:rsidRPr="00E86584">
        <w:rPr>
          <w:rFonts w:ascii="Times New Roman" w:hAnsi="Times New Roman" w:cs="Times New Roman"/>
        </w:rPr>
        <w:t xml:space="preserve">эрежелерге жана стандарттарга ылайыктуу маалыматтар менен камсыз кылат. </w:t>
      </w:r>
    </w:p>
    <w:p w14:paraId="040102A9" w14:textId="77777777" w:rsidR="00E86584" w:rsidRPr="00E86584" w:rsidRDefault="00E86584" w:rsidP="00E86584">
      <w:pPr>
        <w:rPr>
          <w:rFonts w:ascii="Times New Roman" w:hAnsi="Times New Roman" w:cs="Times New Roman"/>
        </w:rPr>
      </w:pPr>
    </w:p>
    <w:p w14:paraId="6A22B90A" w14:textId="77777777" w:rsidR="00D87357" w:rsidRDefault="00E86584" w:rsidP="00041D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87357">
        <w:rPr>
          <w:sz w:val="22"/>
          <w:szCs w:val="22"/>
          <w:lang w:val="ky-KG"/>
        </w:rPr>
        <w:t>Кененир</w:t>
      </w:r>
      <w:r w:rsidR="00D87357" w:rsidRPr="00D87357">
        <w:rPr>
          <w:sz w:val="22"/>
          <w:szCs w:val="22"/>
          <w:lang w:val="ky-KG"/>
        </w:rPr>
        <w:t>ээ</w:t>
      </w:r>
      <w:r w:rsidRPr="00D87357">
        <w:rPr>
          <w:sz w:val="22"/>
          <w:szCs w:val="22"/>
          <w:lang w:val="ky-KG"/>
        </w:rPr>
        <w:t xml:space="preserve">к маалымат алуу </w:t>
      </w:r>
      <w:r w:rsidR="00041DCC" w:rsidRPr="00D87357">
        <w:rPr>
          <w:sz w:val="22"/>
          <w:szCs w:val="22"/>
          <w:lang w:val="ky-KG"/>
        </w:rPr>
        <w:t>жана интервью уюштуруу үчүн басма сөз катчысына кайрылыңыз:</w:t>
      </w:r>
      <w:r w:rsidR="002533D7" w:rsidRPr="00D87357">
        <w:rPr>
          <w:rStyle w:val="a7"/>
          <w:sz w:val="22"/>
          <w:szCs w:val="22"/>
        </w:rPr>
        <w:commentReference w:id="3"/>
      </w:r>
      <w:r w:rsidR="002533D7" w:rsidRPr="00D87357">
        <w:rPr>
          <w:color w:val="000000"/>
          <w:sz w:val="22"/>
          <w:szCs w:val="22"/>
        </w:rPr>
        <w:t xml:space="preserve"> </w:t>
      </w:r>
    </w:p>
    <w:p w14:paraId="12A17494" w14:textId="5121A373" w:rsidR="002533D7" w:rsidRPr="002E2275" w:rsidRDefault="002533D7" w:rsidP="00041DC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D87357">
        <w:rPr>
          <w:sz w:val="22"/>
          <w:szCs w:val="22"/>
        </w:rPr>
        <w:t>тел</w:t>
      </w:r>
      <w:r w:rsidRPr="002E2275">
        <w:rPr>
          <w:sz w:val="22"/>
          <w:szCs w:val="22"/>
          <w:lang w:val="en-US" w:eastAsia="en-US"/>
        </w:rPr>
        <w:t>.: + 996 (312) 625 747</w:t>
      </w:r>
    </w:p>
    <w:p w14:paraId="57021A38" w14:textId="77777777" w:rsidR="002533D7" w:rsidRPr="00D87357" w:rsidRDefault="002533D7" w:rsidP="002533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87357">
        <w:rPr>
          <w:rFonts w:ascii="Times New Roman" w:hAnsi="Times New Roman" w:cs="Times New Roman"/>
          <w:lang w:val="en-US"/>
        </w:rPr>
        <w:t xml:space="preserve">e-mail: </w:t>
      </w:r>
      <w:hyperlink r:id="rId11" w:history="1">
        <w:r w:rsidRPr="00D87357">
          <w:rPr>
            <w:rFonts w:ascii="Times New Roman" w:hAnsi="Times New Roman" w:cs="Times New Roman"/>
            <w:color w:val="0000FF"/>
            <w:u w:val="single"/>
            <w:lang w:val="en-US"/>
          </w:rPr>
          <w:t>smi_nsc@stat.kg</w:t>
        </w:r>
      </w:hyperlink>
      <w:r w:rsidRPr="00D87357">
        <w:rPr>
          <w:rFonts w:ascii="Times New Roman" w:hAnsi="Times New Roman" w:cs="Times New Roman"/>
          <w:color w:val="0000FF"/>
          <w:u w:val="single"/>
          <w:lang w:val="en-US"/>
        </w:rPr>
        <w:t>,</w:t>
      </w:r>
    </w:p>
    <w:p w14:paraId="06B4C8FD" w14:textId="61505EBA" w:rsidR="002533D7" w:rsidRPr="00D87357" w:rsidRDefault="00041DCC" w:rsidP="002533D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y-KG" w:eastAsia="ru-RU"/>
        </w:rPr>
      </w:pPr>
      <w:r w:rsidRPr="00D87357">
        <w:rPr>
          <w:rFonts w:ascii="Times New Roman" w:hAnsi="Times New Roman" w:cs="Times New Roman"/>
          <w:color w:val="000000"/>
          <w:lang w:val="ky-KG" w:eastAsia="ru-RU"/>
        </w:rPr>
        <w:t>Дареги</w:t>
      </w:r>
      <w:r w:rsidR="002533D7" w:rsidRPr="00D87357">
        <w:rPr>
          <w:rFonts w:ascii="Times New Roman" w:hAnsi="Times New Roman" w:cs="Times New Roman"/>
          <w:color w:val="000000"/>
          <w:lang w:val="en-US" w:eastAsia="ru-RU"/>
        </w:rPr>
        <w:t xml:space="preserve">: </w:t>
      </w:r>
      <w:r w:rsidR="002533D7" w:rsidRPr="00D87357">
        <w:rPr>
          <w:rFonts w:ascii="Times New Roman" w:hAnsi="Times New Roman" w:cs="Times New Roman"/>
          <w:color w:val="000000"/>
          <w:lang w:eastAsia="ru-RU"/>
        </w:rPr>
        <w:t>Фрунзе</w:t>
      </w:r>
      <w:r w:rsidRPr="00D87357">
        <w:rPr>
          <w:rFonts w:ascii="Times New Roman" w:hAnsi="Times New Roman" w:cs="Times New Roman"/>
          <w:color w:val="000000"/>
          <w:lang w:val="ky-KG" w:eastAsia="ru-RU"/>
        </w:rPr>
        <w:t xml:space="preserve"> көч.:</w:t>
      </w:r>
      <w:r w:rsidR="002533D7" w:rsidRPr="00D87357">
        <w:rPr>
          <w:rFonts w:ascii="Times New Roman" w:hAnsi="Times New Roman" w:cs="Times New Roman"/>
          <w:color w:val="000000"/>
          <w:lang w:val="en-US" w:eastAsia="ru-RU"/>
        </w:rPr>
        <w:t xml:space="preserve"> 374 (</w:t>
      </w:r>
      <w:r w:rsidR="002533D7" w:rsidRPr="00D87357">
        <w:rPr>
          <w:rFonts w:ascii="Times New Roman" w:hAnsi="Times New Roman" w:cs="Times New Roman"/>
          <w:color w:val="000000"/>
          <w:lang w:eastAsia="ru-RU"/>
        </w:rPr>
        <w:t>Т</w:t>
      </w:r>
      <w:r w:rsidR="002533D7" w:rsidRPr="00D87357">
        <w:rPr>
          <w:rFonts w:ascii="Times New Roman" w:hAnsi="Times New Roman" w:cs="Times New Roman"/>
          <w:color w:val="000000"/>
          <w:lang w:val="en-US" w:eastAsia="ru-RU"/>
        </w:rPr>
        <w:t xml:space="preserve">. </w:t>
      </w:r>
      <w:r w:rsidR="002533D7" w:rsidRPr="00D87357">
        <w:rPr>
          <w:rFonts w:ascii="Times New Roman" w:hAnsi="Times New Roman" w:cs="Times New Roman"/>
          <w:color w:val="000000"/>
          <w:lang w:eastAsia="ru-RU"/>
        </w:rPr>
        <w:t>Молдо</w:t>
      </w:r>
      <w:r w:rsidRPr="00D87357">
        <w:rPr>
          <w:rFonts w:ascii="Times New Roman" w:hAnsi="Times New Roman" w:cs="Times New Roman"/>
          <w:color w:val="000000"/>
          <w:lang w:val="ky-KG" w:eastAsia="ru-RU"/>
        </w:rPr>
        <w:t xml:space="preserve"> көчөсү кесилишет</w:t>
      </w:r>
      <w:r w:rsidR="002533D7" w:rsidRPr="00D87357">
        <w:rPr>
          <w:rFonts w:ascii="Times New Roman" w:hAnsi="Times New Roman" w:cs="Times New Roman"/>
          <w:color w:val="000000"/>
          <w:lang w:val="en-US" w:eastAsia="ru-RU"/>
        </w:rPr>
        <w:t>).</w:t>
      </w:r>
    </w:p>
    <w:p w14:paraId="608F41F0" w14:textId="77777777" w:rsidR="002533D7" w:rsidRPr="00D87357" w:rsidRDefault="002533D7" w:rsidP="002533D7">
      <w:pPr>
        <w:rPr>
          <w:rFonts w:ascii="Times New Roman" w:hAnsi="Times New Roman" w:cs="Times New Roman"/>
          <w:lang w:val="ky-KG"/>
        </w:rPr>
      </w:pPr>
    </w:p>
    <w:tbl>
      <w:tblPr>
        <w:tblW w:w="5120" w:type="pct"/>
        <w:tblLook w:val="01E0" w:firstRow="1" w:lastRow="1" w:firstColumn="1" w:lastColumn="1" w:noHBand="0" w:noVBand="0"/>
      </w:tblPr>
      <w:tblGrid>
        <w:gridCol w:w="1642"/>
        <w:gridCol w:w="2587"/>
        <w:gridCol w:w="1033"/>
        <w:gridCol w:w="1235"/>
        <w:gridCol w:w="1716"/>
        <w:gridCol w:w="1656"/>
      </w:tblGrid>
      <w:tr w:rsidR="002533D7" w:rsidRPr="00BD634F" w14:paraId="126A3070" w14:textId="77777777" w:rsidTr="007E2449">
        <w:tc>
          <w:tcPr>
            <w:tcW w:w="869" w:type="pct"/>
            <w:shd w:val="clear" w:color="auto" w:fill="auto"/>
            <w:vAlign w:val="bottom"/>
          </w:tcPr>
          <w:p w14:paraId="72E17E95" w14:textId="0D1D82F9" w:rsidR="002533D7" w:rsidRPr="00041DCC" w:rsidRDefault="00041DCC" w:rsidP="007E24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1DCC">
              <w:rPr>
                <w:rFonts w:ascii="Times New Roman" w:hAnsi="Times New Roman"/>
                <w:color w:val="333333"/>
                <w:sz w:val="20"/>
                <w:szCs w:val="20"/>
                <w:lang w:val="ky-KG"/>
              </w:rPr>
              <w:t>Биздин даректер</w:t>
            </w:r>
            <w:r w:rsidR="002533D7" w:rsidRPr="00041DCC">
              <w:rPr>
                <w:rFonts w:ascii="Times New Roman" w:hAnsi="Times New Roman"/>
                <w:color w:val="333333"/>
                <w:sz w:val="20"/>
                <w:szCs w:val="20"/>
              </w:rPr>
              <w:t>:</w:t>
            </w:r>
          </w:p>
        </w:tc>
        <w:tc>
          <w:tcPr>
            <w:tcW w:w="1347" w:type="pct"/>
            <w:shd w:val="clear" w:color="auto" w:fill="auto"/>
            <w:vAlign w:val="bottom"/>
          </w:tcPr>
          <w:p w14:paraId="4FC217A2" w14:textId="77777777" w:rsidR="002533D7" w:rsidRPr="002E0A8F" w:rsidRDefault="002E2275" w:rsidP="007E2449">
            <w:pPr>
              <w:jc w:val="right"/>
              <w:rPr>
                <w:rFonts w:ascii="Times New Roman" w:hAnsi="Times New Roman"/>
                <w:b/>
                <w:color w:val="1F4E79"/>
              </w:rPr>
            </w:pPr>
            <w:hyperlink r:id="rId12" w:history="1">
              <w:r w:rsidR="002533D7" w:rsidRPr="002E0A8F">
                <w:rPr>
                  <w:rStyle w:val="a4"/>
                  <w:rFonts w:ascii="Times New Roman" w:hAnsi="Times New Roman"/>
                  <w:color w:val="1F4E79"/>
                </w:rPr>
                <w:t>www.stat.kg</w:t>
              </w:r>
            </w:hyperlink>
            <w:r w:rsidR="002533D7" w:rsidRPr="002E0A8F">
              <w:rPr>
                <w:rFonts w:ascii="Times New Roman" w:hAnsi="Times New Roman"/>
                <w:color w:val="1F4E79"/>
              </w:rPr>
              <w:t>|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64118548" w14:textId="77777777" w:rsidR="002533D7" w:rsidRPr="00F40AC9" w:rsidRDefault="002E2275" w:rsidP="007E2449">
            <w:pPr>
              <w:rPr>
                <w:rFonts w:ascii="Times New Roman" w:hAnsi="Times New Roman" w:cs="Times New Roman"/>
                <w:b/>
                <w:color w:val="1F4E79"/>
              </w:rPr>
            </w:pPr>
            <w:hyperlink r:id="rId13" w:history="1">
              <w:r w:rsidR="002533D7" w:rsidRPr="007E2449">
                <w:rPr>
                  <w:rStyle w:val="a4"/>
                  <w:rFonts w:ascii="Times New Roman" w:hAnsi="Times New Roman" w:cs="Times New Roman"/>
                  <w:color w:val="1F4E79"/>
                  <w:sz w:val="21"/>
                  <w:szCs w:val="21"/>
                  <w:shd w:val="clear" w:color="auto" w:fill="FFFFFF"/>
                </w:rPr>
                <w:t>Facebook</w:t>
              </w:r>
            </w:hyperlink>
          </w:p>
        </w:tc>
        <w:tc>
          <w:tcPr>
            <w:tcW w:w="612" w:type="pct"/>
            <w:shd w:val="clear" w:color="auto" w:fill="auto"/>
            <w:vAlign w:val="bottom"/>
          </w:tcPr>
          <w:p w14:paraId="0F32F66C" w14:textId="77777777" w:rsidR="002533D7" w:rsidRPr="00BD634F" w:rsidRDefault="002533D7" w:rsidP="007E2449">
            <w:pPr>
              <w:rPr>
                <w:rFonts w:ascii="Times New Roman" w:hAnsi="Times New Roman"/>
                <w:b/>
              </w:rPr>
            </w:pPr>
            <w:r w:rsidRPr="00BD634F">
              <w:rPr>
                <w:rFonts w:ascii="Times New Roman" w:hAnsi="Times New Roman"/>
              </w:rPr>
              <w:t xml:space="preserve">тел.625747 </w:t>
            </w:r>
          </w:p>
        </w:tc>
        <w:tc>
          <w:tcPr>
            <w:tcW w:w="848" w:type="pct"/>
            <w:shd w:val="clear" w:color="auto" w:fill="auto"/>
            <w:vAlign w:val="bottom"/>
          </w:tcPr>
          <w:p w14:paraId="312449DA" w14:textId="77777777" w:rsidR="002533D7" w:rsidRPr="00BD634F" w:rsidRDefault="002533D7" w:rsidP="007E2449">
            <w:pPr>
              <w:rPr>
                <w:rFonts w:ascii="Times New Roman" w:hAnsi="Times New Roman"/>
                <w:b/>
              </w:rPr>
            </w:pPr>
            <w:r w:rsidRPr="002A3651">
              <w:rPr>
                <w:noProof/>
                <w:lang w:eastAsia="ru-RU"/>
              </w:rPr>
              <w:drawing>
                <wp:inline distT="0" distB="0" distL="0" distR="0" wp14:anchorId="4DC27C80" wp14:editId="392F0B80">
                  <wp:extent cx="950595" cy="289560"/>
                  <wp:effectExtent l="0" t="0" r="1905" b="0"/>
                  <wp:docPr id="2" name="Рисунок 2" descr="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" t="15628" r="6386" b="18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shd w:val="clear" w:color="auto" w:fill="auto"/>
            <w:vAlign w:val="bottom"/>
          </w:tcPr>
          <w:p w14:paraId="58320803" w14:textId="77777777" w:rsidR="002533D7" w:rsidRPr="00BD634F" w:rsidRDefault="002533D7" w:rsidP="007E244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D8EE89" wp14:editId="0943F116">
                  <wp:extent cx="905510" cy="285115"/>
                  <wp:effectExtent l="0" t="0" r="8890" b="635"/>
                  <wp:docPr id="1" name="Рисунок 1" descr="apple_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ple_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25" b="10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0E7E5" w14:textId="77777777" w:rsidR="002533D7" w:rsidRPr="00EC1F69" w:rsidRDefault="002533D7" w:rsidP="002533D7">
      <w:pPr>
        <w:rPr>
          <w:rFonts w:ascii="Times New Roman" w:hAnsi="Times New Roman" w:cs="Times New Roman"/>
          <w:sz w:val="26"/>
          <w:szCs w:val="26"/>
        </w:rPr>
      </w:pPr>
    </w:p>
    <w:p w14:paraId="7F5D004C" w14:textId="77777777" w:rsidR="00562D35" w:rsidRDefault="00562D35"/>
    <w:sectPr w:rsidR="00562D35" w:rsidSect="007E24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igul Bolotova (abolotova@internews.org)" w:date="2018-10-03T07:45:00Z" w:initials="AB(">
    <w:p w14:paraId="317EE42E" w14:textId="77777777" w:rsidR="002533D7" w:rsidRDefault="002533D7" w:rsidP="002533D7">
      <w:pPr>
        <w:pStyle w:val="a8"/>
      </w:pPr>
      <w:r>
        <w:rPr>
          <w:rStyle w:val="a7"/>
          <w:rFonts w:cs="Calibri"/>
        </w:rPr>
        <w:annotationRef/>
      </w:r>
      <w:r>
        <w:t>Обязательно ФИО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7EE4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7"/>
    <w:rsid w:val="00041DCC"/>
    <w:rsid w:val="00076E25"/>
    <w:rsid w:val="00214927"/>
    <w:rsid w:val="002533D7"/>
    <w:rsid w:val="002E2275"/>
    <w:rsid w:val="0047453D"/>
    <w:rsid w:val="00561398"/>
    <w:rsid w:val="00562D35"/>
    <w:rsid w:val="00695F3D"/>
    <w:rsid w:val="008B7F4A"/>
    <w:rsid w:val="00C174AD"/>
    <w:rsid w:val="00C52A0B"/>
    <w:rsid w:val="00D87357"/>
    <w:rsid w:val="00E45E28"/>
    <w:rsid w:val="00E86584"/>
    <w:rsid w:val="00F0509E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EEF0"/>
  <w15:chartTrackingRefBased/>
  <w15:docId w15:val="{204B128F-84B8-45EA-8597-ECAE01AC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D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3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533D7"/>
    <w:rPr>
      <w:color w:val="0000FF"/>
      <w:u w:val="single"/>
    </w:rPr>
  </w:style>
  <w:style w:type="paragraph" w:styleId="a5">
    <w:name w:val="Plain Text"/>
    <w:basedOn w:val="a"/>
    <w:link w:val="a6"/>
    <w:semiHidden/>
    <w:rsid w:val="002533D7"/>
    <w:pPr>
      <w:spacing w:after="0" w:line="240" w:lineRule="auto"/>
    </w:pPr>
    <w:rPr>
      <w:rFonts w:ascii="Consolas" w:hAnsi="Consolas" w:cs="Times New Roman"/>
      <w:sz w:val="21"/>
      <w:szCs w:val="21"/>
      <w:lang w:val="en-US"/>
    </w:rPr>
  </w:style>
  <w:style w:type="character" w:customStyle="1" w:styleId="a6">
    <w:name w:val="Текст Знак"/>
    <w:basedOn w:val="a0"/>
    <w:link w:val="a5"/>
    <w:semiHidden/>
    <w:rsid w:val="002533D7"/>
    <w:rPr>
      <w:rFonts w:ascii="Consolas" w:eastAsia="Times New Roman" w:hAnsi="Consolas" w:cs="Times New Roman"/>
      <w:sz w:val="21"/>
      <w:szCs w:val="21"/>
      <w:lang w:val="en-US"/>
    </w:rPr>
  </w:style>
  <w:style w:type="character" w:styleId="a7">
    <w:name w:val="annotation reference"/>
    <w:semiHidden/>
    <w:rsid w:val="002533D7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2533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2533D7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253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33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yperlink" Target="https://www.facebook.com/statcom.kg/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hyperlink" Target="http://www.stat.k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hyperlink" Target="mailto:smi_nsc@stat.kg" TargetMode="External"/><Relationship Id="rId5" Type="http://schemas.openxmlformats.org/officeDocument/2006/relationships/chart" Target="charts/chart1.xml"/><Relationship Id="rId15" Type="http://schemas.openxmlformats.org/officeDocument/2006/relationships/image" Target="media/image3.png"/><Relationship Id="rId10" Type="http://schemas.microsoft.com/office/2011/relationships/commentsExtended" Target="commentsExtended.xml"/><Relationship Id="rId4" Type="http://schemas.openxmlformats.org/officeDocument/2006/relationships/image" Target="media/image1.jpeg"/><Relationship Id="rId9" Type="http://schemas.openxmlformats.org/officeDocument/2006/relationships/comments" Target="comments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938337801608578E-2"/>
          <c:y val="0.10365853658536585"/>
          <c:w val="0.95174262734584447"/>
          <c:h val="0.72560975609756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2"/>
            <c:invertIfNegative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3"/>
            <c:invertIfNegative val="0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8144400470657478E-3"/>
                  <c:y val="-3.613891963548499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107,0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858660072304076E-2"/>
                  <c:y val="-1.5442902252275181E-2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170892128238949E-3"/>
                  <c:y val="5.9593650761869815E-3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1803440906091105E-3"/>
                  <c:y val="-1.172364824513511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106,3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1816686734881841E-3"/>
                  <c:y val="1.0349263746513376E-2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544923551273455E-2"/>
                  <c:y val="-1.9833404526721748E-2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8652829866994161E-3"/>
                  <c:y val="-6.8689044725075976E-4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106,2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5475727170316023E-3"/>
                  <c:y val="-1.2355849950787534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105,1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7.229862447363733E-3"/>
                  <c:y val="-4.4067480585110452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104,3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2311870302428343E-3"/>
                  <c:y val="-9.8946394286136274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103,3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275407055481135E-2"/>
                  <c:y val="8.3758536857725385E-4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103,7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63866193326635E-2"/>
                  <c:y val="-9.3105199438531239E-4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104,6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4302184907566349E-2"/>
                  <c:y val="-3.3675213725545494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102,7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5.3701852439849485E-2"/>
                  <c:y val="7.5448159496941392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102,3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6685531124262742E-2"/>
                  <c:y val="-1.4772257589088844E-2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2005890559688814E-2"/>
                  <c:y val="-2.6967379540308367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101,3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0007215142567749E-2"/>
                  <c:y val="8.7641551607086088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100,7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6051435167806161E-2"/>
                  <c:y val="1.4007884983676555E-2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1.5541020528927696E-2"/>
                  <c:y val="2.0436898231535605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99,8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6223585046059585E-2"/>
                  <c:y val="2.7692823360480512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99,7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7.374718555790083E-3"/>
                  <c:y val="2.3614575802850535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101,2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104,0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Sheet1!$B$1:$V$1</c:f>
              <c:strCache>
                <c:ptCount val="21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  <c:pt idx="17">
                  <c:v>I-VI</c:v>
                </c:pt>
                <c:pt idx="18">
                  <c:v>I-VII</c:v>
                </c:pt>
                <c:pt idx="19">
                  <c:v>I-VIII</c:v>
                </c:pt>
                <c:pt idx="20">
                  <c:v>I-IX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107</c:v>
                </c:pt>
                <c:pt idx="1">
                  <c:v>104.4</c:v>
                </c:pt>
                <c:pt idx="2">
                  <c:v>107.3</c:v>
                </c:pt>
                <c:pt idx="3">
                  <c:v>106.3</c:v>
                </c:pt>
                <c:pt idx="4">
                  <c:v>106.1</c:v>
                </c:pt>
                <c:pt idx="5">
                  <c:v>105.6</c:v>
                </c:pt>
                <c:pt idx="6">
                  <c:v>106.2</c:v>
                </c:pt>
                <c:pt idx="7">
                  <c:v>105.1</c:v>
                </c:pt>
                <c:pt idx="8">
                  <c:v>104.3</c:v>
                </c:pt>
                <c:pt idx="9">
                  <c:v>103.3</c:v>
                </c:pt>
                <c:pt idx="10">
                  <c:v>103.7</c:v>
                </c:pt>
                <c:pt idx="11">
                  <c:v>104.6</c:v>
                </c:pt>
                <c:pt idx="12">
                  <c:v>102.3</c:v>
                </c:pt>
                <c:pt idx="13">
                  <c:v>102.7</c:v>
                </c:pt>
                <c:pt idx="14">
                  <c:v>101.3</c:v>
                </c:pt>
                <c:pt idx="15">
                  <c:v>101.3</c:v>
                </c:pt>
                <c:pt idx="16">
                  <c:v>100.7</c:v>
                </c:pt>
                <c:pt idx="17">
                  <c:v>100.1</c:v>
                </c:pt>
                <c:pt idx="18">
                  <c:v>99.8</c:v>
                </c:pt>
                <c:pt idx="19">
                  <c:v>99.7</c:v>
                </c:pt>
                <c:pt idx="20">
                  <c:v>101.2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278432"/>
        <c:axId val="223277648"/>
      </c:barChart>
      <c:catAx>
        <c:axId val="223278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2017                                                                              2018</a:t>
                </a:r>
              </a:p>
            </c:rich>
          </c:tx>
          <c:layout>
            <c:manualLayout>
              <c:xMode val="edge"/>
              <c:yMode val="edge"/>
              <c:x val="0.42895442359249331"/>
              <c:y val="0.90853658536585369"/>
            </c:manualLayout>
          </c:layout>
          <c:overlay val="0"/>
          <c:spPr>
            <a:noFill/>
            <a:ln w="2533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327764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223277648"/>
        <c:scaling>
          <c:orientation val="minMax"/>
          <c:max val="108"/>
          <c:min val="98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3278432"/>
        <c:crosses val="autoZero"/>
        <c:crossBetween val="between"/>
        <c:majorUnit val="2"/>
      </c:valAx>
      <c:spPr>
        <a:solidFill>
          <a:srgbClr val="FFFFFF"/>
        </a:solidFill>
        <a:ln w="2533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43243243243246E-2"/>
          <c:y val="6.9364161849710976E-2"/>
          <c:w val="0.95945945945945943"/>
          <c:h val="0.658959537572254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CC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FFFF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FFFF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FFFF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FFFF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FFFF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FFFF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FFFF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FFFF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FFFF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FFFF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2"/>
            <c:invertIfNegative val="0"/>
            <c:bubble3D val="0"/>
            <c:spPr>
              <a:solidFill>
                <a:srgbClr val="FFFF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3"/>
            <c:invertIfNegative val="0"/>
            <c:bubble3D val="0"/>
            <c:spPr>
              <a:solidFill>
                <a:srgbClr val="FFFF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4879529350873998E-3"/>
                  <c:y val="4.3868235850203219E-3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372808140589028E-2"/>
                  <c:y val="7.7286818458189854E-3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123,4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8434081130333029E-5"/>
                  <c:y val="1.19953450447111E-2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429789405905856E-3"/>
                  <c:y val="-3.8829268867004024E-2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1259897134627039E-3"/>
                  <c:y val="5.7946447393778799E-3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6266632541056572E-3"/>
                  <c:y val="-2.3380106772758397E-2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31899981634E-3"/>
                  <c:y val="-2.0243411503990949E-3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5100707521611465E-3"/>
                  <c:y val="-4.063693951240438E-2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8.4519129089186129E-3"/>
                  <c:y val="-6.0811152948533898E-3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120,8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9883496602707846E-3"/>
                  <c:y val="2.5371039550972641E-3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113,8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930191817028251E-3"/>
                  <c:y val="-2.2203144288231835E-2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112,7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5.872033973785773E-3"/>
                  <c:y val="3.882372131450984E-3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9.51657883324597E-3"/>
                  <c:y val="8.2754017913838629E-3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7.7554414718411513E-3"/>
                  <c:y val="-1.139894989287954E-2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105,4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5122507113128569E-2"/>
                  <c:y val="2.3708543165986473E-2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99,5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3361369751723751E-2"/>
                  <c:y val="3.5479701237691175E-2"/>
                </c:manualLayout>
              </c:layout>
              <c:tx>
                <c:rich>
                  <a:bodyPr/>
                  <a:lstStyle/>
                  <a:p>
                    <a:pPr>
                      <a:defRPr sz="4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99,0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0717891716600709E-3"/>
                  <c:y val="2.8354086240528376E-2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6.3109286257149178E-3"/>
                  <c:y val="2.6020775018692599E-2"/>
                </c:manualLayout>
              </c:layout>
              <c:tx>
                <c:rich>
                  <a:bodyPr/>
                  <a:lstStyle/>
                  <a:p>
                    <a:pPr>
                      <a:defRPr sz="42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94,0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2.0766284295986037E-2"/>
                  <c:y val="3.4050225338555729E-2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1946129392299616E-3"/>
                  <c:y val="3.0876207147672141E-2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9.136178280527929E-3"/>
                  <c:y val="2.778639667957028E-2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424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4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Sheet1!$B$1:$V$1</c:f>
              <c:strCache>
                <c:ptCount val="21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  <c:pt idx="17">
                  <c:v>I-VI</c:v>
                </c:pt>
                <c:pt idx="18">
                  <c:v>I-VII</c:v>
                </c:pt>
                <c:pt idx="19">
                  <c:v>I-VIII</c:v>
                </c:pt>
                <c:pt idx="20">
                  <c:v>I-IX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134.69999999999999</c:v>
                </c:pt>
                <c:pt idx="1">
                  <c:v>123.4</c:v>
                </c:pt>
                <c:pt idx="2">
                  <c:v>136.30000000000001</c:v>
                </c:pt>
                <c:pt idx="3">
                  <c:v>136.4</c:v>
                </c:pt>
                <c:pt idx="4">
                  <c:v>135.30000000000001</c:v>
                </c:pt>
                <c:pt idx="5">
                  <c:v>131.9</c:v>
                </c:pt>
                <c:pt idx="6">
                  <c:v>133.19999999999999</c:v>
                </c:pt>
                <c:pt idx="7">
                  <c:v>126.6</c:v>
                </c:pt>
                <c:pt idx="8">
                  <c:v>120.8</c:v>
                </c:pt>
                <c:pt idx="9">
                  <c:v>113.8</c:v>
                </c:pt>
                <c:pt idx="10">
                  <c:v>112.7</c:v>
                </c:pt>
                <c:pt idx="11">
                  <c:v>111.5</c:v>
                </c:pt>
                <c:pt idx="12">
                  <c:v>102.7</c:v>
                </c:pt>
                <c:pt idx="13">
                  <c:v>105.4</c:v>
                </c:pt>
                <c:pt idx="14">
                  <c:v>99.5</c:v>
                </c:pt>
                <c:pt idx="15">
                  <c:v>99</c:v>
                </c:pt>
                <c:pt idx="16">
                  <c:v>96.7</c:v>
                </c:pt>
                <c:pt idx="17">
                  <c:v>94</c:v>
                </c:pt>
                <c:pt idx="18">
                  <c:v>91.4</c:v>
                </c:pt>
                <c:pt idx="19">
                  <c:v>90.7</c:v>
                </c:pt>
                <c:pt idx="20">
                  <c:v>95.3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278040"/>
        <c:axId val="223279608"/>
      </c:barChart>
      <c:catAx>
        <c:axId val="223278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2017                                                                                                 2018</a:t>
                </a:r>
              </a:p>
            </c:rich>
          </c:tx>
          <c:layout>
            <c:manualLayout>
              <c:xMode val="edge"/>
              <c:yMode val="edge"/>
              <c:x val="0.26756756756756755"/>
              <c:y val="0.81502890173410403"/>
            </c:manualLayout>
          </c:layout>
          <c:overlay val="0"/>
          <c:spPr>
            <a:noFill/>
            <a:ln w="25327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327960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223279608"/>
        <c:scaling>
          <c:orientation val="minMax"/>
          <c:max val="145"/>
          <c:min val="9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3278040"/>
        <c:crosses val="autoZero"/>
        <c:crossBetween val="between"/>
        <c:majorUnit val="5"/>
      </c:valAx>
      <c:spPr>
        <a:solidFill>
          <a:srgbClr val="FFFFFF"/>
        </a:solidFill>
        <a:ln w="2532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8048780487805E-2"/>
          <c:y val="9.8901098901098897E-2"/>
          <c:w val="0.92378048780487809"/>
          <c:h val="0.615384615384615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2"/>
            <c:invertIfNegative val="0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3"/>
            <c:invertIfNegative val="0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4.2682926829268296E-2"/>
                  <c:y val="0.69780219780219777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83,9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822254645044206E-4"/>
                  <c:y val="2.5793686206393218E-2"/>
                </c:manualLayout>
              </c:layout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78850322864824E-4"/>
                  <c:y val="2.6659529266099935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93,4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8500072108596006E-3"/>
                  <c:y val="3.3119735726306443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98,6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34450719838922E-3"/>
                  <c:y val="-1.3341836610910707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100,0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1773279640552876E-3"/>
                  <c:y val="-1.8828126349168528E-4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102,0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768674408638319E-3"/>
                  <c:y val="-9.4453951635596889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106,9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360020853221406E-3"/>
                  <c:y val="-5.9489338609621245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111,4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541176096328353E-3"/>
                  <c:y val="-5.6493601429795093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113,2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113,5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5309072552105496E-3"/>
                  <c:y val="1.9098318039398876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114,6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4087763621061242E-5"/>
                  <c:y val="-2.9524371908297986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145,9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114,0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2.1101359251782803E-3"/>
                  <c:y val="9.3025235843590126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109,5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3957673184101793E-3"/>
                  <c:y val="-2.2149690897993457E-4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107,3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7.9507623372417902E-3"/>
                  <c:y val="1.1129245449092995E-4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103,8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6.8357060585607643E-3"/>
                  <c:y val="2.509316791152294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101,7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107196688448278E-3"/>
                  <c:y val="1.3105993773927516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97,8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5158502438651356E-3"/>
                  <c:y val="3.3918598974260084E-2"/>
                </c:manualLayout>
              </c:layout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114,8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114,3</a:t>
                    </a:r>
                  </a:p>
                </c:rich>
              </c:tx>
              <c:spPr>
                <a:noFill/>
                <a:ln w="25323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Sheet1!$B$1:$U$1</c:f>
              <c:strCache>
                <c:ptCount val="20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  <c:pt idx="17">
                  <c:v>I-VI</c:v>
                </c:pt>
                <c:pt idx="18">
                  <c:v>I-VII</c:v>
                </c:pt>
                <c:pt idx="19">
                  <c:v>I-VIII</c:v>
                </c:pt>
              </c:strCache>
            </c:strRef>
          </c:cat>
          <c:val>
            <c:numRef>
              <c:f>Sheet1!$B$2:$U$2</c:f>
              <c:numCache>
                <c:formatCode>General</c:formatCode>
                <c:ptCount val="20"/>
                <c:pt idx="0">
                  <c:v>83.9</c:v>
                </c:pt>
                <c:pt idx="1">
                  <c:v>87.6</c:v>
                </c:pt>
                <c:pt idx="2">
                  <c:v>93.4</c:v>
                </c:pt>
                <c:pt idx="3">
                  <c:v>98.6</c:v>
                </c:pt>
                <c:pt idx="4">
                  <c:v>100</c:v>
                </c:pt>
                <c:pt idx="5">
                  <c:v>102</c:v>
                </c:pt>
                <c:pt idx="6">
                  <c:v>106.9</c:v>
                </c:pt>
                <c:pt idx="7">
                  <c:v>111.4</c:v>
                </c:pt>
                <c:pt idx="8">
                  <c:v>113.2</c:v>
                </c:pt>
                <c:pt idx="9">
                  <c:v>113.5</c:v>
                </c:pt>
                <c:pt idx="10">
                  <c:v>113.6</c:v>
                </c:pt>
                <c:pt idx="11">
                  <c:v>114.6</c:v>
                </c:pt>
                <c:pt idx="12">
                  <c:v>145.9</c:v>
                </c:pt>
                <c:pt idx="13">
                  <c:v>114</c:v>
                </c:pt>
                <c:pt idx="14">
                  <c:v>109.5</c:v>
                </c:pt>
                <c:pt idx="15">
                  <c:v>107.3</c:v>
                </c:pt>
                <c:pt idx="16">
                  <c:v>103.8</c:v>
                </c:pt>
                <c:pt idx="17">
                  <c:v>101.7</c:v>
                </c:pt>
                <c:pt idx="18">
                  <c:v>97.8</c:v>
                </c:pt>
                <c:pt idx="19">
                  <c:v>93.8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280392"/>
        <c:axId val="223281568"/>
      </c:barChart>
      <c:catAx>
        <c:axId val="223280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2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2017                                                                     2018</a:t>
                </a:r>
              </a:p>
            </c:rich>
          </c:tx>
          <c:layout>
            <c:manualLayout>
              <c:xMode val="edge"/>
              <c:yMode val="edge"/>
              <c:x val="0.3902439024390244"/>
              <c:y val="0.81318681318681318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328156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223281568"/>
        <c:scaling>
          <c:orientation val="minMax"/>
          <c:max val="150"/>
          <c:min val="84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3280392"/>
        <c:crosses val="autoZero"/>
        <c:crossBetween val="between"/>
        <c:majorUnit val="5"/>
      </c:valAx>
      <c:spPr>
        <a:solidFill>
          <a:srgbClr val="FFFFFF"/>
        </a:solidFill>
        <a:ln w="2532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118210862619806E-2"/>
          <c:y val="0.1125"/>
          <c:w val="0.95207667731629397"/>
          <c:h val="0.59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CCCC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CCCC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CCCC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CCCC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CCCC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CCCC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CCCC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CCCC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2766831823508865E-2"/>
                  <c:y val="3.4784772774421602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68,5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961364406546173E-2"/>
                  <c:y val="1.4683680846913405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74,9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661206317560472E-3"/>
                  <c:y val="2.8112721040621014E-2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531232189307E-3"/>
                  <c:y val="-5.7754651490427023E-4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109,3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9425439808817324E-3"/>
                  <c:y val="2.3363695616498426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112,0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3319647428327648E-3"/>
                  <c:y val="2.0829333882419199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118,2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7213855047837971E-3"/>
                  <c:y val="9.8460030777708374E-4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120,4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110806266734885E-2"/>
                  <c:y val="4.5317391263960394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122,4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5695115207599641E-2"/>
                  <c:y val="4.869821743182623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124,0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847931039317258E-3"/>
                  <c:y val="-1.4225014785066992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120,1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6944040158468656E-3"/>
                  <c:y val="1.0444275779428469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120,8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3473601135625235E-2"/>
                  <c:y val="3.5137756571226864E-4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121,1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2.1252798255403826E-2"/>
                  <c:y val="-3.9559536600394796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108,1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3057554480613742E-2"/>
                  <c:y val="-1.392250147850671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120,1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7641863421478554E-2"/>
                  <c:y val="3.7298427673929657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107,5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9031284183429475E-2"/>
                  <c:y val="-5.6875094825691308E-3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111,0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403092858755306E-2"/>
                  <c:y val="-8.3104074485773616E-4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130,3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1810125707331651E-2"/>
                  <c:y val="-5.3528134976049691E-4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128,0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2.0004658290369015E-2"/>
                  <c:y val="-1.0417066611758063E-2"/>
                </c:manualLayout>
              </c:layout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118,2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8199190873406157E-2"/>
                  <c:y val="-2.2243978375097728E-3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134,7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129,3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3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tx>
                <c:rich>
                  <a:bodyPr/>
                  <a:lstStyle/>
                  <a:p>
                    <a:pPr>
                      <a:defRPr sz="3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127,0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Sheet1!$B$1:$U$1</c:f>
              <c:strCache>
                <c:ptCount val="20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  <c:pt idx="17">
                  <c:v>I-VI</c:v>
                </c:pt>
                <c:pt idx="18">
                  <c:v>I-VII</c:v>
                </c:pt>
                <c:pt idx="19">
                  <c:v>I-VIII</c:v>
                </c:pt>
              </c:strCache>
            </c:strRef>
          </c:cat>
          <c:val>
            <c:numRef>
              <c:f>Sheet1!$B$2:$U$2</c:f>
              <c:numCache>
                <c:formatCode>General</c:formatCode>
                <c:ptCount val="20"/>
                <c:pt idx="0">
                  <c:v>68.5</c:v>
                </c:pt>
                <c:pt idx="1">
                  <c:v>74.900000000000006</c:v>
                </c:pt>
                <c:pt idx="2">
                  <c:v>92.7</c:v>
                </c:pt>
                <c:pt idx="3">
                  <c:v>109.3</c:v>
                </c:pt>
                <c:pt idx="4">
                  <c:v>112</c:v>
                </c:pt>
                <c:pt idx="5">
                  <c:v>118.2</c:v>
                </c:pt>
                <c:pt idx="6">
                  <c:v>120.4</c:v>
                </c:pt>
                <c:pt idx="7">
                  <c:v>122.4</c:v>
                </c:pt>
                <c:pt idx="8">
                  <c:v>124</c:v>
                </c:pt>
                <c:pt idx="9">
                  <c:v>120.1</c:v>
                </c:pt>
                <c:pt idx="10">
                  <c:v>120.8</c:v>
                </c:pt>
                <c:pt idx="11">
                  <c:v>121.1</c:v>
                </c:pt>
                <c:pt idx="12">
                  <c:v>108.1</c:v>
                </c:pt>
                <c:pt idx="13">
                  <c:v>120.1</c:v>
                </c:pt>
                <c:pt idx="14">
                  <c:v>107.5</c:v>
                </c:pt>
                <c:pt idx="15">
                  <c:v>111</c:v>
                </c:pt>
                <c:pt idx="16">
                  <c:v>130.30000000000001</c:v>
                </c:pt>
                <c:pt idx="17">
                  <c:v>128</c:v>
                </c:pt>
                <c:pt idx="18">
                  <c:v>118.2</c:v>
                </c:pt>
                <c:pt idx="19">
                  <c:v>105.2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284312"/>
        <c:axId val="162353808"/>
      </c:barChart>
      <c:catAx>
        <c:axId val="223284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2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2017                                                                     2018</a:t>
                </a:r>
              </a:p>
            </c:rich>
          </c:tx>
          <c:layout>
            <c:manualLayout>
              <c:xMode val="edge"/>
              <c:yMode val="edge"/>
              <c:x val="0.39936102236421728"/>
              <c:y val="0.81874999999999998"/>
            </c:manualLayout>
          </c:layout>
          <c:overlay val="0"/>
          <c:spPr>
            <a:noFill/>
            <a:ln w="25327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235380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162353808"/>
        <c:scaling>
          <c:orientation val="minMax"/>
          <c:max val="140"/>
          <c:min val="66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3284312"/>
        <c:crosses val="autoZero"/>
        <c:crossBetween val="between"/>
        <c:majorUnit val="10"/>
        <c:minorUnit val="10"/>
      </c:valAx>
      <c:spPr>
        <a:solidFill>
          <a:srgbClr val="FFFFFF"/>
        </a:solidFill>
        <a:ln w="2532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Barabaev</dc:creator>
  <cp:keywords/>
  <dc:description/>
  <cp:lastModifiedBy>Barabaev</cp:lastModifiedBy>
  <cp:revision>4</cp:revision>
  <dcterms:created xsi:type="dcterms:W3CDTF">2018-10-09T12:14:00Z</dcterms:created>
  <dcterms:modified xsi:type="dcterms:W3CDTF">2018-10-10T03:10:00Z</dcterms:modified>
</cp:coreProperties>
</file>