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30" w:rsidRDefault="00E24BBB">
      <w:r>
        <w:rPr>
          <w:noProof/>
          <w:lang w:eastAsia="ru-RU"/>
        </w:rPr>
        <w:drawing>
          <wp:inline distT="0" distB="0" distL="0" distR="0" wp14:anchorId="4A32EF1F" wp14:editId="50E0EC8A">
            <wp:extent cx="8905875" cy="5940425"/>
            <wp:effectExtent l="0" t="0" r="9525" b="3175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61F0" w:rsidRDefault="00E24BBB">
      <w:r>
        <w:rPr>
          <w:noProof/>
          <w:lang w:eastAsia="ru-RU"/>
        </w:rPr>
        <w:lastRenderedPageBreak/>
        <w:drawing>
          <wp:inline distT="0" distB="0" distL="0" distR="0" wp14:anchorId="35DFA112" wp14:editId="3D9BB1A1">
            <wp:extent cx="9251950" cy="5685790"/>
            <wp:effectExtent l="0" t="0" r="6350" b="10160"/>
            <wp:docPr id="3" name="Диаграмма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61F0" w:rsidRDefault="00E24BBB">
      <w:r>
        <w:rPr>
          <w:noProof/>
          <w:lang w:eastAsia="ru-RU"/>
        </w:rPr>
        <w:lastRenderedPageBreak/>
        <w:drawing>
          <wp:inline distT="0" distB="0" distL="0" distR="0" wp14:anchorId="7663378F" wp14:editId="6F8B56F0">
            <wp:extent cx="9251950" cy="5483860"/>
            <wp:effectExtent l="0" t="0" r="6350" b="2540"/>
            <wp:docPr id="4" name="Диаграмма 4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4BBB" w:rsidRDefault="00E24BBB"/>
    <w:p w:rsidR="00E24BBB" w:rsidRDefault="00E24BB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5F958BE" wp14:editId="2B59CEA3">
            <wp:extent cx="9251950" cy="5616575"/>
            <wp:effectExtent l="0" t="0" r="6350" b="3175"/>
            <wp:docPr id="5" name="Диаграмма 5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E24BBB" w:rsidSect="00193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F"/>
    <w:rsid w:val="0019332F"/>
    <w:rsid w:val="00283EA6"/>
    <w:rsid w:val="00843D82"/>
    <w:rsid w:val="00A261F0"/>
    <w:rsid w:val="00E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27C3-FCFD-4DF9-8DC9-D3208A4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mp\IDN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mp\IDN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mp\IDN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omp\IDN\&#1044;&#1048;&#1053;&#1040;&#1052;&#1048;&#1050;&#1040;%20&#1048;&#1044;&#1053;\!&#1044;&#1080;&#1085;&#1072;&#1084;&#1080;&#1082;&#1072;%20&#1048;&#1044;&#1053;%20&#1089;&#1090;&#1088;&#1091;&#1082;&#1090;&#1091;&#1088;&#1072;%202021%20&#1075;&#1086;&#1076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доверия населения, II полугодие 202</a:t>
            </a:r>
            <a:r>
              <a:rPr lang="en-US">
                <a:solidFill>
                  <a:sysClr val="windowText" lastClr="000000"/>
                </a:solidFill>
              </a:rPr>
              <a:t>1</a:t>
            </a:r>
            <a:r>
              <a:rPr lang="ru-RU">
                <a:solidFill>
                  <a:sysClr val="windowText" lastClr="000000"/>
                </a:solidFill>
              </a:rPr>
              <a:t>г.</a:t>
            </a:r>
          </a:p>
        </c:rich>
      </c:tx>
      <c:layout>
        <c:manualLayout>
          <c:xMode val="edge"/>
          <c:yMode val="edge"/>
          <c:x val="0.30922215218137122"/>
          <c:y val="1.08407021417500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768899510628018"/>
          <c:y val="6.6907904626731921E-2"/>
          <c:w val="0.49231104038968271"/>
          <c:h val="0.921421968445937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'Графики-рейтинг (2полуг.2021)'!$C$19</c:f>
              <c:strCache>
                <c:ptCount val="1"/>
                <c:pt idx="0">
                  <c:v>ИДН 1</c:v>
                </c:pt>
              </c:strCache>
            </c:strRef>
          </c:tx>
          <c:spPr>
            <a:solidFill>
              <a:srgbClr val="6792C5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93E-4A2C-9456-877052F0A1C3}"/>
              </c:ext>
            </c:extLst>
          </c:dPt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93E-4A2C-9456-877052F0A1C3}"/>
              </c:ext>
            </c:extLst>
          </c:dPt>
          <c:dPt>
            <c:idx val="2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993E-4A2C-9456-877052F0A1C3}"/>
              </c:ext>
            </c:extLst>
          </c:dPt>
          <c:dPt>
            <c:idx val="23"/>
            <c:invertIfNegative val="0"/>
            <c:bubble3D val="0"/>
            <c:spPr>
              <a:solidFill>
                <a:srgbClr val="6792C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93E-4A2C-9456-877052F0A1C3}"/>
              </c:ext>
            </c:extLst>
          </c:dPt>
          <c:dLbls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'Графики-рейтинг (2полуг.2021)'!$B$20:$B$45</c:f>
              <c:strCache>
                <c:ptCount val="26"/>
                <c:pt idx="0">
                  <c:v>Министерство здравоохранения КР</c:v>
                </c:pt>
                <c:pt idx="1">
                  <c:v>Госагентство архитектуры, строительства и жилищно-коммунального хозяйства при Кабинете Министров КР</c:v>
                </c:pt>
                <c:pt idx="2">
                  <c:v>Министерство природных ресурсов, экологии и технического надзора </c:v>
                </c:pt>
                <c:pt idx="3">
                  <c:v>Министерство внутренних дел КР </c:v>
                </c:pt>
                <c:pt idx="4">
                  <c:v>Министерство экономики и коммерции КР </c:v>
                </c:pt>
                <c:pt idx="5">
                  <c:v>Агентство по инвестициям и развитию КР </c:v>
                </c:pt>
                <c:pt idx="6">
                  <c:v>Министерство транспорта и коммуникаций КР</c:v>
                </c:pt>
                <c:pt idx="7">
                  <c:v>Министерство финансов КР</c:v>
                </c:pt>
                <c:pt idx="8">
                  <c:v>Министерство юстиции КР </c:v>
                </c:pt>
                <c:pt idx="9">
                  <c:v>Министерство сельского хозяйства КР  </c:v>
                </c:pt>
                <c:pt idx="10">
                  <c:v>Министерство образования и науки КР</c:v>
                </c:pt>
                <c:pt idx="11">
                  <c:v>Министерство труда, социального обеспечения и миграции</c:v>
                </c:pt>
                <c:pt idx="12">
                  <c:v>Министерство энергетики КР</c:v>
                </c:pt>
                <c:pt idx="13">
                  <c:v>Кыргызская Республика</c:v>
                </c:pt>
                <c:pt idx="14">
                  <c:v>Министерство иностранных дел КР </c:v>
                </c:pt>
                <c:pt idx="15">
                  <c:v>Госагентство по делам государственной службы и местного самоуправления при Кабинете Министров КР</c:v>
                </c:pt>
                <c:pt idx="16">
                  <c:v>Госагентство интеллектуальной собственности и инноваций при Кабинете министров КР </c:v>
                </c:pt>
                <c:pt idx="17">
                  <c:v>Социальный фонд КР при Кабинете Министров КР</c:v>
                </c:pt>
                <c:pt idx="18">
                  <c:v>Министерство цифрового развития КР</c:v>
                </c:pt>
                <c:pt idx="19">
                  <c:v>Министерство обороны КР</c:v>
                </c:pt>
                <c:pt idx="20">
                  <c:v>Министерство культуры, информации, спорта и молодежной политики КР   </c:v>
                </c:pt>
                <c:pt idx="21">
                  <c:v>Орган местного самоуправления КР: мэрия города Бишкек;   мэрия города Ош</c:v>
                </c:pt>
                <c:pt idx="22">
                  <c:v>Местная государственная администрация</c:v>
                </c:pt>
                <c:pt idx="23">
                  <c:v>Министерство чрезвычайных ситуаций КР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'Графики-рейтинг (2полуг.2021)'!$C$20:$C$45</c:f>
              <c:numCache>
                <c:formatCode>0.0</c:formatCode>
                <c:ptCount val="26"/>
                <c:pt idx="0">
                  <c:v>23.50346819099498</c:v>
                </c:pt>
                <c:pt idx="1">
                  <c:v>23.624481265164942</c:v>
                </c:pt>
                <c:pt idx="2">
                  <c:v>24.941053551564238</c:v>
                </c:pt>
                <c:pt idx="3">
                  <c:v>25.864664361721371</c:v>
                </c:pt>
                <c:pt idx="4">
                  <c:v>26.952533232513414</c:v>
                </c:pt>
                <c:pt idx="5">
                  <c:v>27.315680361659428</c:v>
                </c:pt>
                <c:pt idx="6">
                  <c:v>27.87891284454475</c:v>
                </c:pt>
                <c:pt idx="7">
                  <c:v>28.139177242396691</c:v>
                </c:pt>
                <c:pt idx="8">
                  <c:v>29.203755561929921</c:v>
                </c:pt>
                <c:pt idx="9">
                  <c:v>29.94915273809811</c:v>
                </c:pt>
                <c:pt idx="10">
                  <c:v>31.471715072604212</c:v>
                </c:pt>
                <c:pt idx="11">
                  <c:v>32.385775989756901</c:v>
                </c:pt>
                <c:pt idx="12">
                  <c:v>32.404509549447141</c:v>
                </c:pt>
                <c:pt idx="13">
                  <c:v>34.044266765955165</c:v>
                </c:pt>
                <c:pt idx="14">
                  <c:v>35.73824554601012</c:v>
                </c:pt>
                <c:pt idx="15">
                  <c:v>35.762939515309434</c:v>
                </c:pt>
                <c:pt idx="16">
                  <c:v>36.054832088761714</c:v>
                </c:pt>
                <c:pt idx="17">
                  <c:v>38.181793979330358</c:v>
                </c:pt>
                <c:pt idx="18">
                  <c:v>39.296366493216269</c:v>
                </c:pt>
                <c:pt idx="19">
                  <c:v>40.171034461211548</c:v>
                </c:pt>
                <c:pt idx="20">
                  <c:v>42.650054755844714</c:v>
                </c:pt>
                <c:pt idx="21">
                  <c:v>42.739867597665359</c:v>
                </c:pt>
                <c:pt idx="22">
                  <c:v>48.32960128122744</c:v>
                </c:pt>
                <c:pt idx="23">
                  <c:v>48.751330626754076</c:v>
                </c:pt>
                <c:pt idx="24">
                  <c:v>50.271629839402777</c:v>
                </c:pt>
                <c:pt idx="25">
                  <c:v>51.69851457631264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93E-4A2C-9456-877052F0A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74732272"/>
        <c:axId val="174731880"/>
      </c:barChart>
      <c:catAx>
        <c:axId val="174732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174731880"/>
        <c:crosses val="autoZero"/>
        <c:auto val="1"/>
        <c:lblAlgn val="ctr"/>
        <c:lblOffset val="100"/>
        <c:noMultiLvlLbl val="0"/>
      </c:catAx>
      <c:valAx>
        <c:axId val="17473188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7473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</a:t>
            </a:r>
            <a:r>
              <a:rPr lang="en-US">
                <a:solidFill>
                  <a:sysClr val="windowText" lastClr="000000"/>
                </a:solidFill>
              </a:rPr>
              <a:t>"</a:t>
            </a:r>
            <a:r>
              <a:rPr lang="ru-RU">
                <a:solidFill>
                  <a:sysClr val="windowText" lastClr="000000"/>
                </a:solidFill>
              </a:rPr>
              <a:t>Личное доверие гражданина к государству", </a:t>
            </a:r>
            <a:r>
              <a:rPr lang="en-US">
                <a:solidFill>
                  <a:sysClr val="windowText" lastClr="000000"/>
                </a:solidFill>
              </a:rPr>
              <a:t>II </a:t>
            </a:r>
            <a:r>
              <a:rPr lang="ru-RU">
                <a:solidFill>
                  <a:sysClr val="windowText" lastClr="000000"/>
                </a:solidFill>
              </a:rPr>
              <a:t>полугодие 202</a:t>
            </a:r>
            <a:r>
              <a:rPr lang="en-US">
                <a:solidFill>
                  <a:sysClr val="windowText" lastClr="000000"/>
                </a:solidFill>
              </a:rPr>
              <a:t>1</a:t>
            </a:r>
            <a:r>
              <a:rPr lang="ru-RU">
                <a:solidFill>
                  <a:sysClr val="windowText" lastClr="000000"/>
                </a:solidFill>
              </a:rPr>
              <a:t>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261010779667449"/>
          <c:y val="5.7751474384086829E-2"/>
          <c:w val="0.44841859283718571"/>
          <c:h val="0.90797441084757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'Графики-рейтинг (2полуг.2021)'!$D$60</c:f>
              <c:strCache>
                <c:ptCount val="1"/>
                <c:pt idx="0">
                  <c:v>ИЛД 2</c:v>
                </c:pt>
              </c:strCache>
            </c:strRef>
          </c:tx>
          <c:spPr>
            <a:solidFill>
              <a:srgbClr val="648FC4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0B4-492F-ADD9-9D2BB60E2BB4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0B4-492F-ADD9-9D2BB60E2BB4}"/>
              </c:ext>
            </c:extLst>
          </c:dPt>
          <c:dPt>
            <c:idx val="1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0B4-492F-ADD9-9D2BB60E2BB4}"/>
              </c:ext>
            </c:extLst>
          </c:dPt>
          <c:dPt>
            <c:idx val="2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F0B4-492F-ADD9-9D2BB60E2BB4}"/>
              </c:ext>
            </c:extLst>
          </c:dPt>
          <c:dPt>
            <c:idx val="22"/>
            <c:invertIfNegative val="0"/>
            <c:bubble3D val="0"/>
            <c:spPr>
              <a:solidFill>
                <a:srgbClr val="648FC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0B4-492F-ADD9-9D2BB60E2BB4}"/>
              </c:ext>
            </c:extLst>
          </c:dPt>
          <c:dLbls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'Графики-рейтинг (2полуг.2021)'!$B$61:$B$86</c:f>
              <c:strCache>
                <c:ptCount val="26"/>
                <c:pt idx="0">
                  <c:v>Министерство природных ресурсов, экологии и технического надзора </c:v>
                </c:pt>
                <c:pt idx="1">
                  <c:v>Госагентство архитектуры, строительства и жилищно-коммунального хозяйства при Кабинете Министров КР</c:v>
                </c:pt>
                <c:pt idx="2">
                  <c:v>Агентство по инвестициям и развитию КР </c:v>
                </c:pt>
                <c:pt idx="3">
                  <c:v>Министерство экономики и коммерции КР </c:v>
                </c:pt>
                <c:pt idx="4">
                  <c:v>Министерство финансов КР</c:v>
                </c:pt>
                <c:pt idx="5">
                  <c:v>Министерство транспорта и коммуникаций КР</c:v>
                </c:pt>
                <c:pt idx="6">
                  <c:v>Министерство внутренних дел КР </c:v>
                </c:pt>
                <c:pt idx="7">
                  <c:v>Министерство юстиции КР </c:v>
                </c:pt>
                <c:pt idx="8">
                  <c:v>Министерство сельского хозяйства КР  </c:v>
                </c:pt>
                <c:pt idx="9">
                  <c:v>Министерство здравоохранения КР</c:v>
                </c:pt>
                <c:pt idx="10">
                  <c:v>Министерство труда, социального обеспечения и миграции</c:v>
                </c:pt>
                <c:pt idx="11">
                  <c:v>Госагентство интеллектуальной собственности и инноваций при Кабинете министров КР </c:v>
                </c:pt>
                <c:pt idx="12">
                  <c:v>Госагентство по делам государственной службы и местного самоуправления при Кабинете Министров КР</c:v>
                </c:pt>
                <c:pt idx="13">
                  <c:v>Кыргызская Республика</c:v>
                </c:pt>
                <c:pt idx="14">
                  <c:v>Министерство энергетики КР</c:v>
                </c:pt>
                <c:pt idx="15">
                  <c:v>Орган местного самоуправления КР: мэрия города Бишкек;   мэрия города Ош</c:v>
                </c:pt>
                <c:pt idx="16">
                  <c:v>Министерство образования и науки КР</c:v>
                </c:pt>
                <c:pt idx="17">
                  <c:v>Социальный фонд КР при Кабинете Министров КР</c:v>
                </c:pt>
                <c:pt idx="18">
                  <c:v>Министерство иностранных дел КР </c:v>
                </c:pt>
                <c:pt idx="19">
                  <c:v>Министерство цифрового развития КР</c:v>
                </c:pt>
                <c:pt idx="20">
                  <c:v>Министерство обороны КР</c:v>
                </c:pt>
                <c:pt idx="21">
                  <c:v>Министерство культуры, информации, спорта и молодежной политики КР   </c:v>
                </c:pt>
                <c:pt idx="22">
                  <c:v>Местная государственная администрация</c:v>
                </c:pt>
                <c:pt idx="23">
                  <c:v>Министерство чрезвычайных ситуаций КР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'Графики-рейтинг (2полуг.2021)'!$D$61:$D$86</c:f>
              <c:numCache>
                <c:formatCode>0.0</c:formatCode>
                <c:ptCount val="26"/>
                <c:pt idx="0">
                  <c:v>32.810704924879644</c:v>
                </c:pt>
                <c:pt idx="1">
                  <c:v>34.07397601067531</c:v>
                </c:pt>
                <c:pt idx="2">
                  <c:v>35.531952360547876</c:v>
                </c:pt>
                <c:pt idx="3">
                  <c:v>35.542743635997645</c:v>
                </c:pt>
                <c:pt idx="4">
                  <c:v>37.629802797077119</c:v>
                </c:pt>
                <c:pt idx="5">
                  <c:v>38.265484604712476</c:v>
                </c:pt>
                <c:pt idx="6">
                  <c:v>38.268134353418787</c:v>
                </c:pt>
                <c:pt idx="7">
                  <c:v>39.500706048747176</c:v>
                </c:pt>
                <c:pt idx="8">
                  <c:v>39.729236031676976</c:v>
                </c:pt>
                <c:pt idx="9">
                  <c:v>40.720127054590229</c:v>
                </c:pt>
                <c:pt idx="10">
                  <c:v>41.290553837662614</c:v>
                </c:pt>
                <c:pt idx="11">
                  <c:v>42.494480183880036</c:v>
                </c:pt>
                <c:pt idx="12">
                  <c:v>42.645868124564352</c:v>
                </c:pt>
                <c:pt idx="13">
                  <c:v>43.046563124234389</c:v>
                </c:pt>
                <c:pt idx="14">
                  <c:v>43.307808201109715</c:v>
                </c:pt>
                <c:pt idx="15">
                  <c:v>44.742076965035089</c:v>
                </c:pt>
                <c:pt idx="16">
                  <c:v>45.316015548903408</c:v>
                </c:pt>
                <c:pt idx="17">
                  <c:v>45.466051643964619</c:v>
                </c:pt>
                <c:pt idx="18">
                  <c:v>45.638671383486432</c:v>
                </c:pt>
                <c:pt idx="19">
                  <c:v>46.382286337072777</c:v>
                </c:pt>
                <c:pt idx="20">
                  <c:v>48.513421515700635</c:v>
                </c:pt>
                <c:pt idx="21">
                  <c:v>49.903000238384394</c:v>
                </c:pt>
                <c:pt idx="22">
                  <c:v>54.01651514875477</c:v>
                </c:pt>
                <c:pt idx="23">
                  <c:v>54.743855002275978</c:v>
                </c:pt>
                <c:pt idx="24">
                  <c:v>56.310289252308436</c:v>
                </c:pt>
                <c:pt idx="25">
                  <c:v>57.10205259067731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0B4-492F-ADD9-9D2BB60E2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1049416"/>
        <c:axId val="321042360"/>
      </c:barChart>
      <c:catAx>
        <c:axId val="321049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21042360"/>
        <c:crosses val="autoZero"/>
        <c:auto val="1"/>
        <c:lblAlgn val="ctr"/>
        <c:lblOffset val="100"/>
        <c:noMultiLvlLbl val="0"/>
      </c:catAx>
      <c:valAx>
        <c:axId val="32104236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21049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"Личное представление об уровне коррупции", </a:t>
            </a:r>
            <a:r>
              <a:rPr lang="en-US">
                <a:solidFill>
                  <a:sysClr val="windowText" lastClr="000000"/>
                </a:solidFill>
              </a:rPr>
              <a:t>II </a:t>
            </a:r>
            <a:r>
              <a:rPr lang="ru-RU">
                <a:solidFill>
                  <a:sysClr val="windowText" lastClr="000000"/>
                </a:solidFill>
              </a:rPr>
              <a:t>полугодие 202</a:t>
            </a:r>
            <a:r>
              <a:rPr lang="en-US">
                <a:solidFill>
                  <a:sysClr val="windowText" lastClr="000000"/>
                </a:solidFill>
              </a:rPr>
              <a:t>1</a:t>
            </a:r>
            <a:r>
              <a:rPr lang="ru-RU">
                <a:solidFill>
                  <a:sysClr val="windowText" lastClr="000000"/>
                </a:solidFill>
              </a:rPr>
              <a:t>г.</a:t>
            </a:r>
            <a:endParaRPr lang="en-US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507171849391153"/>
          <c:y val="7.230983285495983E-2"/>
          <c:w val="0.49492828150608836"/>
          <c:h val="0.909106359389189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'Графики-рейтинг (2полуг.2021)'!$E$92</c:f>
              <c:strCache>
                <c:ptCount val="1"/>
                <c:pt idx="0">
                  <c:v>ИУК 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C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'Графики-рейтинг (2полуг.2021)'!$B$93:$B$118</c:f>
              <c:strCache>
                <c:ptCount val="26"/>
                <c:pt idx="0">
                  <c:v>Министерство здравоохранения КР</c:v>
                </c:pt>
                <c:pt idx="1">
                  <c:v>Министерство внутренних дел КР </c:v>
                </c:pt>
                <c:pt idx="2">
                  <c:v>Госагентство архитектуры, строительства и жилищно-коммунального хозяйства при Кабинете Министров КР</c:v>
                </c:pt>
                <c:pt idx="3">
                  <c:v>Министерство юстиции КР </c:v>
                </c:pt>
                <c:pt idx="4">
                  <c:v>Министерство транспорта и коммуникаций КР</c:v>
                </c:pt>
                <c:pt idx="5">
                  <c:v>Министерство образования и науки КР</c:v>
                </c:pt>
                <c:pt idx="6">
                  <c:v>Агентство по инвестициям и развитию КР </c:v>
                </c:pt>
                <c:pt idx="7">
                  <c:v>Министерство финансов КР</c:v>
                </c:pt>
                <c:pt idx="8">
                  <c:v>Министерство экономики и коммерции КР </c:v>
                </c:pt>
                <c:pt idx="9">
                  <c:v>Министерство энергетики КР</c:v>
                </c:pt>
                <c:pt idx="10">
                  <c:v>Министерство природных ресурсов, экологии и технического надзора </c:v>
                </c:pt>
                <c:pt idx="11">
                  <c:v>Министерство сельского хозяйства КР  </c:v>
                </c:pt>
                <c:pt idx="12">
                  <c:v>Министерство иностранных дел КР </c:v>
                </c:pt>
                <c:pt idx="13">
                  <c:v>Кыргызская Республика</c:v>
                </c:pt>
                <c:pt idx="14">
                  <c:v>Министерство труда, социального обеспечения и миграции</c:v>
                </c:pt>
                <c:pt idx="15">
                  <c:v>Госагентство интеллектуальной собственности и инноваций при Кабинете министров КР </c:v>
                </c:pt>
                <c:pt idx="16">
                  <c:v>Госагентство по делам государственной службы и местного самоуправления при Кабинете Министров КР</c:v>
                </c:pt>
                <c:pt idx="17">
                  <c:v>Министерство цифрового развития КР</c:v>
                </c:pt>
                <c:pt idx="18">
                  <c:v>Социальный фонд КР при Кабинете Министров КР</c:v>
                </c:pt>
                <c:pt idx="19">
                  <c:v>Министерство обороны КР</c:v>
                </c:pt>
                <c:pt idx="20">
                  <c:v>Министерство культуры, информации, спорта и молодежной политики КР   </c:v>
                </c:pt>
                <c:pt idx="21">
                  <c:v>Орган местного самоуправления КР: мэрия города Бишкек;   мэрия города Ош</c:v>
                </c:pt>
                <c:pt idx="22">
                  <c:v>Местная государственная администрация</c:v>
                </c:pt>
                <c:pt idx="23">
                  <c:v>Министерство чрезвычайных ситуаций КР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'Графики-рейтинг (2полуг.2021)'!$E$93:$E$118</c:f>
              <c:numCache>
                <c:formatCode>0.0</c:formatCode>
                <c:ptCount val="26"/>
                <c:pt idx="0">
                  <c:v>3.8427409684932958</c:v>
                </c:pt>
                <c:pt idx="1">
                  <c:v>8.8649655460815371</c:v>
                </c:pt>
                <c:pt idx="2">
                  <c:v>11.151735634438168</c:v>
                </c:pt>
                <c:pt idx="3">
                  <c:v>16.241529246329598</c:v>
                </c:pt>
                <c:pt idx="4">
                  <c:v>17.311619079793932</c:v>
                </c:pt>
                <c:pt idx="5">
                  <c:v>17.319868421807083</c:v>
                </c:pt>
                <c:pt idx="6">
                  <c:v>17.64343877630796</c:v>
                </c:pt>
                <c:pt idx="7">
                  <c:v>17.707302768840307</c:v>
                </c:pt>
                <c:pt idx="8">
                  <c:v>17.820834145916308</c:v>
                </c:pt>
                <c:pt idx="9">
                  <c:v>18.112131768246456</c:v>
                </c:pt>
                <c:pt idx="10">
                  <c:v>19.625431099115332</c:v>
                </c:pt>
                <c:pt idx="11">
                  <c:v>21.345881917704137</c:v>
                </c:pt>
                <c:pt idx="12">
                  <c:v>23.802914783214742</c:v>
                </c:pt>
                <c:pt idx="13">
                  <c:v>24.398931548272277</c:v>
                </c:pt>
                <c:pt idx="14">
                  <c:v>24.778319372575961</c:v>
                </c:pt>
                <c:pt idx="15">
                  <c:v>27.783995714611141</c:v>
                </c:pt>
                <c:pt idx="16">
                  <c:v>28.6422981440458</c:v>
                </c:pt>
                <c:pt idx="17">
                  <c:v>29.805099965959677</c:v>
                </c:pt>
                <c:pt idx="18">
                  <c:v>31.063426158613535</c:v>
                </c:pt>
                <c:pt idx="19">
                  <c:v>32.360779057716485</c:v>
                </c:pt>
                <c:pt idx="20">
                  <c:v>36.030794823483212</c:v>
                </c:pt>
                <c:pt idx="21">
                  <c:v>41.035214607263931</c:v>
                </c:pt>
                <c:pt idx="22">
                  <c:v>44.106485082140082</c:v>
                </c:pt>
                <c:pt idx="23">
                  <c:v>45.299222161700932</c:v>
                </c:pt>
                <c:pt idx="24">
                  <c:v>45.541989331462865</c:v>
                </c:pt>
                <c:pt idx="25">
                  <c:v>47.830210325047823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1046672"/>
        <c:axId val="325694064"/>
      </c:barChart>
      <c:catAx>
        <c:axId val="32104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25694064"/>
        <c:crosses val="autoZero"/>
        <c:auto val="1"/>
        <c:lblAlgn val="ctr"/>
        <c:lblOffset val="100"/>
        <c:noMultiLvlLbl val="0"/>
      </c:catAx>
      <c:valAx>
        <c:axId val="3256940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2104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Индекс "Оценка деятельности", II полугодие 202</a:t>
            </a:r>
            <a:r>
              <a:rPr lang="en-US">
                <a:solidFill>
                  <a:sysClr val="windowText" lastClr="000000"/>
                </a:solidFill>
              </a:rPr>
              <a:t>1</a:t>
            </a:r>
            <a:r>
              <a:rPr lang="ru-RU">
                <a:solidFill>
                  <a:sysClr val="windowText" lastClr="000000"/>
                </a:solidFill>
              </a:rPr>
              <a:t>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489711129446047"/>
          <c:y val="8.5268335239892634E-2"/>
          <c:w val="0.49510288870553965"/>
          <c:h val="0.896668521296341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'Графики-рейтинг (2полуг.2021)'!$F$123</c:f>
              <c:strCache>
                <c:ptCount val="1"/>
                <c:pt idx="0">
                  <c:v>ИОД 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rgbClr val="C00000"/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'Графики-рейтинг (2полуг.2021)'!$B$124:$B$149</c:f>
              <c:strCache>
                <c:ptCount val="26"/>
                <c:pt idx="0">
                  <c:v>Министерство природных ресурсов, экологии и технического надзора </c:v>
                </c:pt>
                <c:pt idx="1">
                  <c:v>Госагентство архитектуры, строительства и жилищно-коммунального хозяйства при Кабинете Министров КР</c:v>
                </c:pt>
                <c:pt idx="2">
                  <c:v>Министерство здравоохранения КР</c:v>
                </c:pt>
                <c:pt idx="3">
                  <c:v>Министерство экономики и коммерции КР </c:v>
                </c:pt>
                <c:pt idx="4">
                  <c:v>Министерство транспорта и коммуникаций КР</c:v>
                </c:pt>
                <c:pt idx="5">
                  <c:v>Агентство по инвестициям и развитию КР </c:v>
                </c:pt>
                <c:pt idx="6">
                  <c:v>Министерство сельского хозяйства КР  </c:v>
                </c:pt>
                <c:pt idx="7">
                  <c:v>Министерство финансов КР</c:v>
                </c:pt>
                <c:pt idx="8">
                  <c:v>Министерство внутренних дел КР </c:v>
                </c:pt>
                <c:pt idx="9">
                  <c:v>Министерство труда, социального обеспечения и миграции</c:v>
                </c:pt>
                <c:pt idx="10">
                  <c:v>Министерство юстиции КР </c:v>
                </c:pt>
                <c:pt idx="11">
                  <c:v>Министерство образования и науки КР</c:v>
                </c:pt>
                <c:pt idx="12">
                  <c:v>Кыргызская Республика</c:v>
                </c:pt>
                <c:pt idx="13">
                  <c:v>Министерство энергетики КР</c:v>
                </c:pt>
                <c:pt idx="14">
                  <c:v>Госагентство по делам государственной службы и местного самоуправления при Кабинете Министров КР</c:v>
                </c:pt>
                <c:pt idx="15">
                  <c:v>Госагентство интеллектуальной собственности и инноваций при Кабинете министров КР </c:v>
                </c:pt>
                <c:pt idx="16">
                  <c:v>Министерство иностранных дел КР </c:v>
                </c:pt>
                <c:pt idx="17">
                  <c:v>Социальный фонд КР при Кабинете Министров КР</c:v>
                </c:pt>
                <c:pt idx="18">
                  <c:v>Министерство обороны КР</c:v>
                </c:pt>
                <c:pt idx="19">
                  <c:v>Министерство цифрового развития КР</c:v>
                </c:pt>
                <c:pt idx="20">
                  <c:v>Министерство культуры, информации, спорта и молодежной политики КР   </c:v>
                </c:pt>
                <c:pt idx="21">
                  <c:v>Орган местного самоуправления КР: мэрия города Бишкек;   мэрия города Ош</c:v>
                </c:pt>
                <c:pt idx="22">
                  <c:v>Министерство чрезвычайных ситуаций КР</c:v>
                </c:pt>
                <c:pt idx="23">
                  <c:v>Местная государственная администрация</c:v>
                </c:pt>
                <c:pt idx="24">
                  <c:v>Аппараты Полномочных представителей Президента КР в областях</c:v>
                </c:pt>
                <c:pt idx="25">
                  <c:v>Органы местного самоуправления городов областного, районного значения и айылных аймаков</c:v>
                </c:pt>
              </c:strCache>
            </c:strRef>
          </c:cat>
          <c:val>
            <c:numRef>
              <c:f>'Графики-рейтинг (2полуг.2021)'!$F$124:$F$149</c:f>
              <c:numCache>
                <c:formatCode>0.0</c:formatCode>
                <c:ptCount val="26"/>
                <c:pt idx="0">
                  <c:v>22.286985862412525</c:v>
                </c:pt>
                <c:pt idx="1">
                  <c:v>24.970400095204777</c:v>
                </c:pt>
                <c:pt idx="2">
                  <c:v>25.476173443382301</c:v>
                </c:pt>
                <c:pt idx="3">
                  <c:v>26.884212599096152</c:v>
                </c:pt>
                <c:pt idx="4">
                  <c:v>27.567763887580675</c:v>
                </c:pt>
                <c:pt idx="5">
                  <c:v>27.671733903402405</c:v>
                </c:pt>
                <c:pt idx="6">
                  <c:v>28.196959819189004</c:v>
                </c:pt>
                <c:pt idx="7">
                  <c:v>28.340464131433414</c:v>
                </c:pt>
                <c:pt idx="8">
                  <c:v>29.341361951593356</c:v>
                </c:pt>
                <c:pt idx="9">
                  <c:v>30.78041728248434</c:v>
                </c:pt>
                <c:pt idx="10">
                  <c:v>30.938338895124577</c:v>
                </c:pt>
                <c:pt idx="11">
                  <c:v>31.173512610151178</c:v>
                </c:pt>
                <c:pt idx="12">
                  <c:v>34.075233127499978</c:v>
                </c:pt>
                <c:pt idx="13">
                  <c:v>35.257329697274798</c:v>
                </c:pt>
                <c:pt idx="14">
                  <c:v>35.351058583570378</c:v>
                </c:pt>
                <c:pt idx="15">
                  <c:v>36.638301607513668</c:v>
                </c:pt>
                <c:pt idx="16">
                  <c:v>37.015127518935707</c:v>
                </c:pt>
                <c:pt idx="17">
                  <c:v>37.657583349940609</c:v>
                </c:pt>
                <c:pt idx="18">
                  <c:v>38.993462424084782</c:v>
                </c:pt>
                <c:pt idx="19">
                  <c:v>40.603383528364489</c:v>
                </c:pt>
                <c:pt idx="20">
                  <c:v>41.487860929280345</c:v>
                </c:pt>
                <c:pt idx="21">
                  <c:v>42.746648255703178</c:v>
                </c:pt>
                <c:pt idx="22">
                  <c:v>46.623410807227415</c:v>
                </c:pt>
                <c:pt idx="23">
                  <c:v>47.561904293996385</c:v>
                </c:pt>
                <c:pt idx="24">
                  <c:v>48.779242049935561</c:v>
                </c:pt>
                <c:pt idx="25">
                  <c:v>50.409392122583185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25970976"/>
        <c:axId val="325970584"/>
      </c:barChart>
      <c:catAx>
        <c:axId val="32597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325970584"/>
        <c:crosses val="autoZero"/>
        <c:auto val="1"/>
        <c:lblAlgn val="ctr"/>
        <c:lblOffset val="100"/>
        <c:noMultiLvlLbl val="0"/>
      </c:catAx>
      <c:valAx>
        <c:axId val="32597058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32597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 Narrow" panose="020B060602020203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Samohleb</dc:creator>
  <cp:keywords/>
  <dc:description/>
  <cp:lastModifiedBy>Samohleb</cp:lastModifiedBy>
  <cp:revision>2</cp:revision>
  <dcterms:created xsi:type="dcterms:W3CDTF">2022-02-26T05:52:00Z</dcterms:created>
  <dcterms:modified xsi:type="dcterms:W3CDTF">2022-02-26T05:52:00Z</dcterms:modified>
</cp:coreProperties>
</file>