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9E" w:rsidRPr="00980449" w:rsidRDefault="00CA0D9E" w:rsidP="009824B8">
      <w:pPr>
        <w:jc w:val="center"/>
        <w:rPr>
          <w:b/>
          <w:bCs/>
          <w:iCs/>
          <w:sz w:val="24"/>
          <w:szCs w:val="24"/>
          <w:lang w:val="ky-KG"/>
        </w:rPr>
      </w:pPr>
      <w:r w:rsidRPr="00980449">
        <w:rPr>
          <w:b/>
          <w:sz w:val="24"/>
          <w:szCs w:val="24"/>
          <w:lang w:val="ky-KG"/>
        </w:rPr>
        <w:t>Экономиканын реалдуу секторунун ишканаларынын карыздыры</w:t>
      </w:r>
      <w:r w:rsidR="00EF0026" w:rsidRPr="00980449">
        <w:rPr>
          <w:b/>
          <w:sz w:val="24"/>
          <w:szCs w:val="24"/>
          <w:lang w:val="ky-KG"/>
        </w:rPr>
        <w:t>нын</w:t>
      </w:r>
      <w:r w:rsidR="0098438B" w:rsidRPr="00980449">
        <w:rPr>
          <w:b/>
          <w:sz w:val="24"/>
          <w:szCs w:val="24"/>
          <w:lang w:val="ky-KG"/>
        </w:rPr>
        <w:t xml:space="preserve"> абалы</w:t>
      </w:r>
      <w:r w:rsidR="00EF0026" w:rsidRPr="00980449">
        <w:rPr>
          <w:b/>
          <w:sz w:val="24"/>
          <w:szCs w:val="24"/>
          <w:lang w:val="ky-KG"/>
        </w:rPr>
        <w:t xml:space="preserve"> тууралуу</w:t>
      </w:r>
    </w:p>
    <w:p w:rsidR="00A62179" w:rsidRPr="00980449" w:rsidRDefault="00A62179" w:rsidP="00A62179">
      <w:pPr>
        <w:spacing w:before="120"/>
        <w:ind w:firstLine="709"/>
        <w:jc w:val="both"/>
        <w:rPr>
          <w:sz w:val="24"/>
          <w:szCs w:val="24"/>
          <w:lang w:val="ky-KG"/>
        </w:rPr>
      </w:pPr>
      <w:r w:rsidRPr="00980449">
        <w:rPr>
          <w:bCs/>
          <w:iCs/>
          <w:sz w:val="24"/>
          <w:szCs w:val="24"/>
          <w:lang w:val="ky-KG"/>
        </w:rPr>
        <w:t>2</w:t>
      </w:r>
      <w:r w:rsidRPr="00980449">
        <w:rPr>
          <w:sz w:val="24"/>
          <w:szCs w:val="24"/>
          <w:lang w:val="ky-KG"/>
        </w:rPr>
        <w:t>0</w:t>
      </w:r>
      <w:r w:rsidR="00555DCF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 xml:space="preserve">-жылдын аягына карата республиканын экономикасынын реалдуу секторунун ишканаларынын дебитордук карызы </w:t>
      </w:r>
      <w:r w:rsidR="00EF0026" w:rsidRPr="00980449">
        <w:rPr>
          <w:sz w:val="24"/>
          <w:szCs w:val="24"/>
          <w:lang w:val="ky-KG"/>
        </w:rPr>
        <w:t>201</w:t>
      </w:r>
      <w:r w:rsidR="00555DCF" w:rsidRPr="00980449">
        <w:rPr>
          <w:sz w:val="24"/>
          <w:szCs w:val="24"/>
          <w:lang w:val="ky-KG"/>
        </w:rPr>
        <w:t>9</w:t>
      </w:r>
      <w:r w:rsidR="00EF0026" w:rsidRPr="00980449">
        <w:rPr>
          <w:sz w:val="24"/>
          <w:szCs w:val="24"/>
          <w:lang w:val="ky-KG"/>
        </w:rPr>
        <w:t xml:space="preserve">-жылдын тийиштүү мезгилинин көлөмүнө салыштырмалуу </w:t>
      </w:r>
      <w:r w:rsidR="00555DCF" w:rsidRPr="00980449">
        <w:rPr>
          <w:sz w:val="24"/>
          <w:szCs w:val="24"/>
          <w:lang w:val="ky-KG"/>
        </w:rPr>
        <w:t>11,3</w:t>
      </w:r>
      <w:r w:rsidR="00EF0026" w:rsidRPr="00980449">
        <w:rPr>
          <w:sz w:val="24"/>
          <w:szCs w:val="24"/>
          <w:lang w:val="ky-KG"/>
        </w:rPr>
        <w:t xml:space="preserve"> пайызга же </w:t>
      </w:r>
      <w:r w:rsidR="00555DCF" w:rsidRPr="00980449">
        <w:rPr>
          <w:sz w:val="24"/>
          <w:szCs w:val="24"/>
          <w:lang w:val="ky-KG"/>
        </w:rPr>
        <w:t>17 641,5</w:t>
      </w:r>
      <w:r w:rsidR="00EF0026" w:rsidRPr="00980449">
        <w:rPr>
          <w:sz w:val="24"/>
          <w:szCs w:val="24"/>
          <w:lang w:val="ky-KG"/>
        </w:rPr>
        <w:t xml:space="preserve"> млн. сомго, ал эми 201</w:t>
      </w:r>
      <w:r w:rsidR="00555DCF" w:rsidRPr="00980449">
        <w:rPr>
          <w:sz w:val="24"/>
          <w:szCs w:val="24"/>
          <w:lang w:val="ky-KG"/>
        </w:rPr>
        <w:t>6</w:t>
      </w:r>
      <w:r w:rsidR="00EF0026" w:rsidRPr="00980449">
        <w:rPr>
          <w:sz w:val="24"/>
          <w:szCs w:val="24"/>
          <w:lang w:val="ky-KG"/>
        </w:rPr>
        <w:t xml:space="preserve">-жылга салыштырмалуу </w:t>
      </w:r>
      <w:r w:rsidR="00482DFE" w:rsidRPr="00980449">
        <w:rPr>
          <w:sz w:val="24"/>
          <w:szCs w:val="24"/>
          <w:lang w:val="ky-KG"/>
        </w:rPr>
        <w:t>-</w:t>
      </w:r>
      <w:r w:rsidR="00EF0026" w:rsidRPr="00980449">
        <w:rPr>
          <w:sz w:val="24"/>
          <w:szCs w:val="24"/>
          <w:lang w:val="ky-KG"/>
        </w:rPr>
        <w:t xml:space="preserve"> </w:t>
      </w:r>
      <w:r w:rsidR="00555DCF" w:rsidRPr="00980449">
        <w:rPr>
          <w:sz w:val="24"/>
          <w:szCs w:val="24"/>
          <w:lang w:val="ky-KG"/>
        </w:rPr>
        <w:t>33,9</w:t>
      </w:r>
      <w:r w:rsidR="00EF0026" w:rsidRPr="00980449">
        <w:rPr>
          <w:sz w:val="24"/>
          <w:szCs w:val="24"/>
          <w:lang w:val="ky-KG"/>
        </w:rPr>
        <w:t xml:space="preserve"> пайызга же 4</w:t>
      </w:r>
      <w:r w:rsidR="00555DCF" w:rsidRPr="00980449">
        <w:rPr>
          <w:sz w:val="24"/>
          <w:szCs w:val="24"/>
          <w:lang w:val="ky-KG"/>
        </w:rPr>
        <w:t>4 080,0</w:t>
      </w:r>
      <w:r w:rsidR="00EF0026" w:rsidRPr="00980449">
        <w:rPr>
          <w:sz w:val="24"/>
          <w:szCs w:val="24"/>
          <w:lang w:val="ky-KG"/>
        </w:rPr>
        <w:t xml:space="preserve"> млн. сомго көбөйүү менен </w:t>
      </w:r>
      <w:r w:rsidR="00C96DCA" w:rsidRPr="00980449">
        <w:rPr>
          <w:sz w:val="24"/>
          <w:szCs w:val="24"/>
          <w:lang w:val="ky-KG"/>
        </w:rPr>
        <w:t>1</w:t>
      </w:r>
      <w:r w:rsidR="00555DCF" w:rsidRPr="00980449">
        <w:rPr>
          <w:sz w:val="24"/>
          <w:szCs w:val="24"/>
          <w:lang w:val="ky-KG"/>
        </w:rPr>
        <w:t>73 994,2</w:t>
      </w:r>
      <w:r w:rsidR="00C96DCA" w:rsidRPr="00980449">
        <w:rPr>
          <w:sz w:val="24"/>
          <w:szCs w:val="24"/>
          <w:lang w:val="ky-KG"/>
        </w:rPr>
        <w:t xml:space="preserve"> млн. сомду түз</w:t>
      </w:r>
      <w:r w:rsidR="00EF0026" w:rsidRPr="00980449">
        <w:rPr>
          <w:sz w:val="24"/>
          <w:szCs w:val="24"/>
          <w:lang w:val="ky-KG"/>
        </w:rPr>
        <w:t>д</w:t>
      </w:r>
      <w:r w:rsidR="00C96DCA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. </w:t>
      </w:r>
    </w:p>
    <w:p w:rsidR="00C96DCA" w:rsidRPr="00980449" w:rsidRDefault="009824B8" w:rsidP="00123DF5">
      <w:pPr>
        <w:spacing w:before="40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1-</w:t>
      </w:r>
      <w:r w:rsidR="00CC78B3">
        <w:rPr>
          <w:b/>
          <w:sz w:val="24"/>
          <w:szCs w:val="24"/>
          <w:lang w:val="ky-KG"/>
        </w:rPr>
        <w:t>г</w:t>
      </w:r>
      <w:r>
        <w:rPr>
          <w:b/>
          <w:sz w:val="24"/>
          <w:szCs w:val="24"/>
          <w:lang w:val="ky-KG"/>
        </w:rPr>
        <w:t xml:space="preserve">рафик: </w:t>
      </w:r>
      <w:r w:rsidR="00C96DCA" w:rsidRPr="00980449">
        <w:rPr>
          <w:b/>
          <w:sz w:val="24"/>
          <w:szCs w:val="24"/>
          <w:lang w:val="ky-KG"/>
        </w:rPr>
        <w:t>Ишканалардын д</w:t>
      </w:r>
      <w:r w:rsidR="00C96DCA" w:rsidRPr="00980449">
        <w:rPr>
          <w:b/>
          <w:sz w:val="24"/>
          <w:szCs w:val="24"/>
        </w:rPr>
        <w:t>ебитор</w:t>
      </w:r>
      <w:r w:rsidR="00C96DCA" w:rsidRPr="00980449">
        <w:rPr>
          <w:b/>
          <w:sz w:val="24"/>
          <w:szCs w:val="24"/>
          <w:lang w:val="ky-KG"/>
        </w:rPr>
        <w:t>дук карызы</w:t>
      </w:r>
    </w:p>
    <w:p w:rsidR="00C96DCA" w:rsidRPr="00980449" w:rsidRDefault="00C96DCA" w:rsidP="009824B8">
      <w:pPr>
        <w:ind w:firstLine="1304"/>
        <w:jc w:val="both"/>
        <w:rPr>
          <w:i/>
        </w:rPr>
      </w:pPr>
      <w:r w:rsidRPr="00980449">
        <w:rPr>
          <w:i/>
          <w:lang w:val="ky-KG"/>
        </w:rPr>
        <w:t>(млн. сом)</w:t>
      </w:r>
    </w:p>
    <w:p w:rsidR="00C96DCA" w:rsidRPr="00980449" w:rsidRDefault="00EE2646" w:rsidP="00EE2646">
      <w:pPr>
        <w:spacing w:before="120"/>
        <w:jc w:val="center"/>
        <w:rPr>
          <w:sz w:val="22"/>
          <w:szCs w:val="22"/>
          <w:lang w:val="ky-KG"/>
        </w:rPr>
      </w:pPr>
      <w:r w:rsidRPr="00980449">
        <w:rPr>
          <w:noProof/>
        </w:rPr>
        <w:drawing>
          <wp:inline distT="0" distB="0" distL="0" distR="0" wp14:anchorId="0C043ECD" wp14:editId="56668C34">
            <wp:extent cx="5953126" cy="3024188"/>
            <wp:effectExtent l="0" t="0" r="95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2179" w:rsidRPr="00980449" w:rsidRDefault="00A62179" w:rsidP="00A62179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bCs/>
          <w:iCs/>
          <w:sz w:val="24"/>
          <w:szCs w:val="24"/>
          <w:lang w:val="ky-KG"/>
        </w:rPr>
        <w:t>2</w:t>
      </w:r>
      <w:r w:rsidRPr="00980449">
        <w:rPr>
          <w:sz w:val="24"/>
          <w:szCs w:val="24"/>
          <w:lang w:val="ky-KG"/>
        </w:rPr>
        <w:t>0</w:t>
      </w:r>
      <w:r w:rsidR="000350EE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 xml:space="preserve">-жылы мурдагы жылга салыштырмалуу </w:t>
      </w:r>
      <w:r w:rsidR="000350EE" w:rsidRPr="00980449">
        <w:rPr>
          <w:sz w:val="24"/>
          <w:szCs w:val="24"/>
          <w:lang w:val="ky-KG"/>
        </w:rPr>
        <w:t>дү</w:t>
      </w:r>
      <w:r w:rsidR="000350EE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0350EE" w:rsidRPr="00980449">
        <w:rPr>
          <w:sz w:val="24"/>
          <w:szCs w:val="24"/>
          <w:lang w:val="ky-KG"/>
        </w:rPr>
        <w:t xml:space="preserve"> жана чекене соода, автоунааларды жана мотоциклдерди о</w:t>
      </w:r>
      <w:r w:rsidR="000350EE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0350EE" w:rsidRPr="00980449">
        <w:rPr>
          <w:sz w:val="24"/>
          <w:szCs w:val="24"/>
          <w:lang w:val="ky-KG"/>
        </w:rPr>
        <w:t>доо</w:t>
      </w:r>
      <w:r w:rsidR="008A7832" w:rsidRPr="00980449">
        <w:rPr>
          <w:sz w:val="24"/>
          <w:szCs w:val="24"/>
          <w:lang w:val="ky-KG"/>
        </w:rPr>
        <w:t xml:space="preserve"> уюмдар</w:t>
      </w:r>
      <w:r w:rsidR="00EF0026" w:rsidRPr="00980449">
        <w:rPr>
          <w:sz w:val="24"/>
          <w:szCs w:val="24"/>
          <w:lang w:val="ky-KG"/>
        </w:rPr>
        <w:t>ын</w:t>
      </w:r>
      <w:r w:rsidR="008A7832" w:rsidRPr="00980449">
        <w:rPr>
          <w:sz w:val="24"/>
          <w:szCs w:val="24"/>
          <w:lang w:val="ky-KG"/>
        </w:rPr>
        <w:t>да жана ишканалар</w:t>
      </w:r>
      <w:r w:rsidR="00EF0026" w:rsidRPr="00980449">
        <w:rPr>
          <w:sz w:val="24"/>
          <w:szCs w:val="24"/>
          <w:lang w:val="ky-KG"/>
        </w:rPr>
        <w:t>ын</w:t>
      </w:r>
      <w:r w:rsidR="008A7832" w:rsidRPr="00980449">
        <w:rPr>
          <w:sz w:val="24"/>
          <w:szCs w:val="24"/>
          <w:lang w:val="ky-KG"/>
        </w:rPr>
        <w:t xml:space="preserve">да </w:t>
      </w:r>
      <w:r w:rsidR="000350EE" w:rsidRPr="00980449">
        <w:rPr>
          <w:sz w:val="24"/>
          <w:szCs w:val="24"/>
          <w:lang w:val="ky-KG"/>
        </w:rPr>
        <w:t>9 731,3</w:t>
      </w:r>
      <w:r w:rsidR="008A7832" w:rsidRPr="00980449">
        <w:rPr>
          <w:sz w:val="24"/>
          <w:szCs w:val="24"/>
          <w:lang w:val="ky-KG"/>
        </w:rPr>
        <w:t xml:space="preserve"> млн. сомго, </w:t>
      </w:r>
      <w:r w:rsidR="004D4C14" w:rsidRPr="00980449">
        <w:rPr>
          <w:sz w:val="24"/>
          <w:szCs w:val="24"/>
          <w:lang w:val="ky-KG"/>
        </w:rPr>
        <w:t xml:space="preserve">пайдалуу кендерди казуу - </w:t>
      </w:r>
      <w:r w:rsidR="006C298C" w:rsidRPr="00980449">
        <w:rPr>
          <w:sz w:val="24"/>
          <w:szCs w:val="24"/>
          <w:lang w:val="ky-KG"/>
        </w:rPr>
        <w:t>3 725,6</w:t>
      </w:r>
      <w:r w:rsidR="004D4C14" w:rsidRPr="00980449">
        <w:rPr>
          <w:sz w:val="24"/>
          <w:szCs w:val="24"/>
          <w:lang w:val="ky-KG"/>
        </w:rPr>
        <w:t xml:space="preserve"> млн.,</w:t>
      </w:r>
      <w:r w:rsidR="00D3360B" w:rsidRPr="00980449">
        <w:rPr>
          <w:sz w:val="24"/>
          <w:szCs w:val="24"/>
          <w:lang w:val="ky-KG"/>
        </w:rPr>
        <w:t xml:space="preserve"> </w:t>
      </w:r>
      <w:r w:rsidR="004D4C14" w:rsidRPr="00980449">
        <w:rPr>
          <w:sz w:val="24"/>
          <w:szCs w:val="24"/>
          <w:lang w:val="ky-KG"/>
        </w:rPr>
        <w:t>курулуш</w:t>
      </w:r>
      <w:r w:rsidR="00106748" w:rsidRPr="00980449">
        <w:rPr>
          <w:sz w:val="24"/>
          <w:szCs w:val="24"/>
          <w:lang w:val="ky-KG"/>
        </w:rPr>
        <w:t xml:space="preserve"> </w:t>
      </w:r>
      <w:r w:rsidR="004D4C14" w:rsidRPr="00980449">
        <w:rPr>
          <w:sz w:val="24"/>
          <w:szCs w:val="24"/>
          <w:lang w:val="ky-KG"/>
        </w:rPr>
        <w:t>-</w:t>
      </w:r>
      <w:r w:rsidR="008A7832" w:rsidRPr="00980449">
        <w:rPr>
          <w:sz w:val="24"/>
          <w:szCs w:val="24"/>
          <w:lang w:val="ky-KG"/>
        </w:rPr>
        <w:t xml:space="preserve"> </w:t>
      </w:r>
      <w:r w:rsidR="004D4C14" w:rsidRPr="00980449">
        <w:rPr>
          <w:sz w:val="24"/>
          <w:szCs w:val="24"/>
          <w:lang w:val="ky-KG"/>
        </w:rPr>
        <w:t>1 978,2</w:t>
      </w:r>
      <w:r w:rsidR="0009451A" w:rsidRPr="00980449">
        <w:rPr>
          <w:sz w:val="24"/>
          <w:szCs w:val="24"/>
          <w:lang w:val="ky-KG"/>
        </w:rPr>
        <w:t xml:space="preserve"> млн., </w:t>
      </w:r>
      <w:r w:rsidR="004D4C14" w:rsidRPr="00980449">
        <w:rPr>
          <w:sz w:val="24"/>
          <w:szCs w:val="24"/>
          <w:lang w:val="ky-KG"/>
        </w:rPr>
        <w:t>тамак-аш азыктарын, анын ичинде суусундуктарды өндүрүү</w:t>
      </w:r>
      <w:r w:rsidR="00FB5A4A" w:rsidRPr="00980449">
        <w:rPr>
          <w:sz w:val="24"/>
          <w:szCs w:val="24"/>
          <w:lang w:val="ky-KG"/>
        </w:rPr>
        <w:t xml:space="preserve"> </w:t>
      </w:r>
      <w:r w:rsidR="00123DF5" w:rsidRPr="00980449">
        <w:rPr>
          <w:sz w:val="24"/>
          <w:szCs w:val="24"/>
          <w:lang w:val="ky-KG"/>
        </w:rPr>
        <w:t>-</w:t>
      </w:r>
      <w:r w:rsidR="0009451A" w:rsidRPr="00980449">
        <w:rPr>
          <w:sz w:val="24"/>
          <w:szCs w:val="24"/>
          <w:lang w:val="ky-KG"/>
        </w:rPr>
        <w:t xml:space="preserve"> 1</w:t>
      </w:r>
      <w:r w:rsidR="004D4C14" w:rsidRPr="00980449">
        <w:rPr>
          <w:sz w:val="24"/>
          <w:szCs w:val="24"/>
          <w:lang w:val="ky-KG"/>
        </w:rPr>
        <w:t> 822,2</w:t>
      </w:r>
      <w:r w:rsidR="0009451A" w:rsidRPr="00980449">
        <w:rPr>
          <w:sz w:val="24"/>
          <w:szCs w:val="24"/>
          <w:lang w:val="ky-KG"/>
        </w:rPr>
        <w:t xml:space="preserve"> млн., </w:t>
      </w:r>
      <w:r w:rsidR="004D4C14" w:rsidRPr="00980449">
        <w:rPr>
          <w:sz w:val="24"/>
          <w:szCs w:val="24"/>
          <w:lang w:val="ky-KG"/>
        </w:rPr>
        <w:t>кыймылсыз мүлк менен операциялар боюнча - 1</w:t>
      </w:r>
      <w:r w:rsidR="006C298C" w:rsidRPr="00980449">
        <w:rPr>
          <w:sz w:val="24"/>
          <w:szCs w:val="24"/>
          <w:lang w:val="ky-KG"/>
        </w:rPr>
        <w:t> 296,6</w:t>
      </w:r>
      <w:r w:rsidR="004D4C14" w:rsidRPr="00980449">
        <w:rPr>
          <w:sz w:val="24"/>
          <w:szCs w:val="24"/>
          <w:lang w:val="ky-KG"/>
        </w:rPr>
        <w:t xml:space="preserve"> млн.,</w:t>
      </w:r>
      <w:r w:rsidR="0009451A" w:rsidRPr="00980449">
        <w:rPr>
          <w:sz w:val="24"/>
          <w:szCs w:val="24"/>
          <w:lang w:val="ky-KG"/>
        </w:rPr>
        <w:t xml:space="preserve"> </w:t>
      </w:r>
      <w:r w:rsidR="006C298C" w:rsidRPr="00980449">
        <w:rPr>
          <w:sz w:val="24"/>
          <w:szCs w:val="24"/>
          <w:lang w:val="ky-KG"/>
        </w:rPr>
        <w:t xml:space="preserve">кесиптик, </w:t>
      </w:r>
      <w:r w:rsidR="0009451A" w:rsidRPr="00980449">
        <w:rPr>
          <w:sz w:val="24"/>
          <w:szCs w:val="24"/>
          <w:lang w:val="ky-KG"/>
        </w:rPr>
        <w:t xml:space="preserve">илимий жана техникалык ишмердик (анын ичинде геологиялык чалгындоо) </w:t>
      </w:r>
      <w:r w:rsidR="004D4C14" w:rsidRPr="00980449">
        <w:rPr>
          <w:sz w:val="24"/>
          <w:szCs w:val="24"/>
          <w:lang w:val="ky-KG"/>
        </w:rPr>
        <w:t>-</w:t>
      </w:r>
      <w:r w:rsidR="0009451A" w:rsidRPr="00980449">
        <w:rPr>
          <w:sz w:val="24"/>
          <w:szCs w:val="24"/>
          <w:lang w:val="ky-KG"/>
        </w:rPr>
        <w:t xml:space="preserve"> </w:t>
      </w:r>
      <w:r w:rsidR="004D4C14" w:rsidRPr="00980449">
        <w:rPr>
          <w:sz w:val="24"/>
          <w:szCs w:val="24"/>
          <w:lang w:val="ky-KG"/>
        </w:rPr>
        <w:t>1 295,5</w:t>
      </w:r>
      <w:r w:rsidR="0009451A" w:rsidRPr="00980449">
        <w:rPr>
          <w:sz w:val="24"/>
          <w:szCs w:val="24"/>
          <w:lang w:val="ky-KG"/>
        </w:rPr>
        <w:t xml:space="preserve"> млн. сомго дебиторлордун кар</w:t>
      </w:r>
      <w:r w:rsidR="00FB5A4A" w:rsidRPr="00980449">
        <w:rPr>
          <w:sz w:val="24"/>
          <w:szCs w:val="24"/>
          <w:lang w:val="ky-KG"/>
        </w:rPr>
        <w:t>ы</w:t>
      </w:r>
      <w:r w:rsidR="0009451A" w:rsidRPr="00980449">
        <w:rPr>
          <w:sz w:val="24"/>
          <w:szCs w:val="24"/>
          <w:lang w:val="ky-KG"/>
        </w:rPr>
        <w:t xml:space="preserve">здарынын көлөмү </w:t>
      </w:r>
      <w:r w:rsidR="00FB5A4A" w:rsidRPr="00980449">
        <w:rPr>
          <w:color w:val="000000"/>
          <w:sz w:val="24"/>
          <w:szCs w:val="24"/>
          <w:shd w:val="clear" w:color="auto" w:fill="FFFFE1"/>
          <w:lang w:val="ky-KG"/>
        </w:rPr>
        <w:t>олуттуу түрдө көбөйдү</w:t>
      </w:r>
      <w:r w:rsidR="00624876" w:rsidRPr="00980449">
        <w:rPr>
          <w:sz w:val="24"/>
          <w:szCs w:val="24"/>
          <w:lang w:val="ky-KG"/>
        </w:rPr>
        <w:t xml:space="preserve">. </w:t>
      </w:r>
      <w:r w:rsidR="00624876" w:rsidRPr="00980449">
        <w:rPr>
          <w:color w:val="000000"/>
          <w:sz w:val="24"/>
          <w:szCs w:val="24"/>
          <w:lang w:val="ky-KG"/>
        </w:rPr>
        <w:t xml:space="preserve">Муну менен бирге, </w:t>
      </w:r>
      <w:r w:rsidR="00624876" w:rsidRPr="00980449">
        <w:rPr>
          <w:sz w:val="24"/>
          <w:szCs w:val="24"/>
          <w:lang w:val="ky-KG"/>
        </w:rPr>
        <w:t xml:space="preserve">өткөн жылда </w:t>
      </w:r>
      <w:r w:rsidR="00E013A2" w:rsidRPr="00980449">
        <w:rPr>
          <w:sz w:val="24"/>
          <w:szCs w:val="24"/>
          <w:lang w:val="ky-KG"/>
        </w:rPr>
        <w:t xml:space="preserve">алардын көлөмү </w:t>
      </w:r>
      <w:r w:rsidR="00FF04D3" w:rsidRPr="00980449">
        <w:rPr>
          <w:sz w:val="24"/>
          <w:szCs w:val="24"/>
          <w:lang w:val="ky-KG"/>
        </w:rPr>
        <w:t>транспорт ишмердиги жана жүктөрдү сактоо</w:t>
      </w:r>
      <w:r w:rsidR="002835FB" w:rsidRPr="00980449">
        <w:rPr>
          <w:sz w:val="24"/>
          <w:szCs w:val="24"/>
          <w:lang w:val="ky-KG"/>
        </w:rPr>
        <w:t xml:space="preserve"> уюмдарда (</w:t>
      </w:r>
      <w:r w:rsidR="00FF04D3" w:rsidRPr="00980449">
        <w:rPr>
          <w:sz w:val="24"/>
          <w:szCs w:val="24"/>
          <w:lang w:val="ky-KG"/>
        </w:rPr>
        <w:t>4 148,4</w:t>
      </w:r>
      <w:r w:rsidR="002835FB" w:rsidRPr="00980449">
        <w:rPr>
          <w:sz w:val="24"/>
          <w:szCs w:val="24"/>
          <w:lang w:val="ky-KG"/>
        </w:rPr>
        <w:t xml:space="preserve"> млн. сомго), </w:t>
      </w:r>
      <w:r w:rsidR="00FF04D3" w:rsidRPr="00980449">
        <w:rPr>
          <w:sz w:val="24"/>
          <w:szCs w:val="24"/>
          <w:lang w:val="ky-KG"/>
        </w:rPr>
        <w:t>байланыш уюмдарда</w:t>
      </w:r>
      <w:r w:rsidR="00624876" w:rsidRPr="00980449">
        <w:rPr>
          <w:sz w:val="24"/>
          <w:szCs w:val="24"/>
          <w:lang w:val="ky-KG"/>
        </w:rPr>
        <w:t xml:space="preserve"> (</w:t>
      </w:r>
      <w:r w:rsidR="00FF04D3" w:rsidRPr="00980449">
        <w:rPr>
          <w:sz w:val="24"/>
          <w:szCs w:val="24"/>
          <w:lang w:val="ky-KG"/>
        </w:rPr>
        <w:t>543,4</w:t>
      </w:r>
      <w:r w:rsidR="00624876" w:rsidRPr="00980449">
        <w:rPr>
          <w:sz w:val="24"/>
          <w:szCs w:val="24"/>
          <w:lang w:val="ky-KG"/>
        </w:rPr>
        <w:t xml:space="preserve"> м</w:t>
      </w:r>
      <w:r w:rsidR="002835FB" w:rsidRPr="00980449">
        <w:rPr>
          <w:sz w:val="24"/>
          <w:szCs w:val="24"/>
          <w:lang w:val="ky-KG"/>
        </w:rPr>
        <w:t>лн.)</w:t>
      </w:r>
      <w:r w:rsidRPr="00980449">
        <w:rPr>
          <w:sz w:val="24"/>
          <w:szCs w:val="24"/>
          <w:lang w:val="ky-KG"/>
        </w:rPr>
        <w:t xml:space="preserve">, </w:t>
      </w:r>
      <w:r w:rsidR="00FF04D3" w:rsidRPr="00980449">
        <w:rPr>
          <w:sz w:val="24"/>
          <w:szCs w:val="24"/>
          <w:lang w:val="ky-KG"/>
        </w:rPr>
        <w:t>электр энергиясынын өндүрүү (чыгаруу), аны берүү жана бөлүштүрүү боюнча</w:t>
      </w:r>
      <w:r w:rsidRPr="00980449">
        <w:rPr>
          <w:sz w:val="24"/>
          <w:szCs w:val="24"/>
          <w:lang w:val="ky-KG"/>
        </w:rPr>
        <w:t xml:space="preserve"> (</w:t>
      </w:r>
      <w:r w:rsidR="00FF04D3" w:rsidRPr="00980449">
        <w:rPr>
          <w:sz w:val="24"/>
          <w:szCs w:val="24"/>
          <w:lang w:val="ky-KG"/>
        </w:rPr>
        <w:t>754,6</w:t>
      </w:r>
      <w:r w:rsidRPr="00980449">
        <w:rPr>
          <w:sz w:val="24"/>
          <w:szCs w:val="24"/>
          <w:lang w:val="ky-KG"/>
        </w:rPr>
        <w:t xml:space="preserve"> млн. сомго)</w:t>
      </w:r>
      <w:r w:rsidR="00624876" w:rsidRPr="00980449">
        <w:rPr>
          <w:sz w:val="24"/>
          <w:szCs w:val="24"/>
          <w:lang w:val="ky-KG"/>
        </w:rPr>
        <w:t xml:space="preserve">, </w:t>
      </w:r>
      <w:r w:rsidR="00FF04D3" w:rsidRPr="00980449">
        <w:rPr>
          <w:sz w:val="24"/>
          <w:szCs w:val="24"/>
          <w:lang w:val="ky-KG"/>
        </w:rPr>
        <w:t>машина жана жабдуу өндүрүшүнөн башка, негизги металлдар жана даяр металл буюмдарын өндүрүү</w:t>
      </w:r>
      <w:r w:rsidR="00624876" w:rsidRPr="00980449">
        <w:rPr>
          <w:sz w:val="24"/>
          <w:szCs w:val="24"/>
          <w:lang w:val="ky-KG"/>
        </w:rPr>
        <w:t xml:space="preserve"> </w:t>
      </w:r>
      <w:r w:rsidR="00E013A2" w:rsidRPr="00980449">
        <w:rPr>
          <w:sz w:val="24"/>
          <w:szCs w:val="24"/>
          <w:lang w:val="ky-KG"/>
        </w:rPr>
        <w:t xml:space="preserve">ишканаларында </w:t>
      </w:r>
      <w:r w:rsidR="00624876" w:rsidRPr="00980449">
        <w:rPr>
          <w:sz w:val="24"/>
          <w:szCs w:val="24"/>
          <w:lang w:val="ky-KG"/>
        </w:rPr>
        <w:t>(</w:t>
      </w:r>
      <w:r w:rsidR="00FF04D3" w:rsidRPr="00980449">
        <w:rPr>
          <w:sz w:val="24"/>
          <w:szCs w:val="24"/>
          <w:lang w:val="ky-KG"/>
        </w:rPr>
        <w:t>201,1</w:t>
      </w:r>
      <w:r w:rsidR="00E013A2" w:rsidRPr="00980449">
        <w:rPr>
          <w:sz w:val="24"/>
          <w:szCs w:val="24"/>
          <w:lang w:val="ky-KG"/>
        </w:rPr>
        <w:t xml:space="preserve"> млн. сомго) </w:t>
      </w:r>
      <w:r w:rsidR="009F25F5" w:rsidRPr="00980449">
        <w:rPr>
          <w:sz w:val="24"/>
          <w:szCs w:val="24"/>
          <w:lang w:val="ky-KG"/>
        </w:rPr>
        <w:t>кө</w:t>
      </w:r>
      <w:r w:rsidR="002D04B6" w:rsidRPr="00980449">
        <w:rPr>
          <w:sz w:val="24"/>
          <w:szCs w:val="24"/>
          <w:lang w:val="ky-KG"/>
        </w:rPr>
        <w:t>бүрөөк</w:t>
      </w:r>
      <w:r w:rsidRPr="00980449">
        <w:rPr>
          <w:sz w:val="24"/>
          <w:szCs w:val="24"/>
          <w:lang w:val="ky-KG"/>
        </w:rPr>
        <w:t xml:space="preserve"> </w:t>
      </w:r>
      <w:r w:rsidR="008A7E12" w:rsidRPr="00980449">
        <w:rPr>
          <w:sz w:val="24"/>
          <w:szCs w:val="24"/>
          <w:lang w:val="ky-KG"/>
        </w:rPr>
        <w:t>кыскарды.</w:t>
      </w:r>
    </w:p>
    <w:p w:rsidR="00A62179" w:rsidRPr="00980449" w:rsidRDefault="00A62179" w:rsidP="00A62179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20</w:t>
      </w:r>
      <w:r w:rsidR="00DB789B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>-жылдын аягына карата дебитордук карыздын жалпы к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л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м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нд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г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 э</w:t>
      </w:r>
      <w:r w:rsidR="007C7110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 xml:space="preserve"> чо</w:t>
      </w:r>
      <w:r w:rsidR="007C7110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 xml:space="preserve"> 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л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ш д</w:t>
      </w:r>
      <w:r w:rsidR="007C7110" w:rsidRPr="00980449">
        <w:rPr>
          <w:sz w:val="24"/>
          <w:szCs w:val="24"/>
          <w:lang w:val="ky-KG"/>
        </w:rPr>
        <w:t>ү</w:t>
      </w:r>
      <w:r w:rsidR="007C7110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 xml:space="preserve"> жана чекене соода, автоунааларды жана мотоциклдерди о</w:t>
      </w:r>
      <w:r w:rsidR="007C7110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>доо (</w:t>
      </w:r>
      <w:r w:rsidR="00DB789B" w:rsidRPr="00980449">
        <w:rPr>
          <w:sz w:val="24"/>
          <w:szCs w:val="24"/>
          <w:lang w:val="ky-KG"/>
        </w:rPr>
        <w:t>32,0</w:t>
      </w:r>
      <w:r w:rsidRPr="00980449">
        <w:rPr>
          <w:sz w:val="24"/>
          <w:szCs w:val="24"/>
          <w:lang w:val="ky-KG"/>
        </w:rPr>
        <w:t xml:space="preserve"> пайызы), иштет</w:t>
      </w:r>
      <w:r w:rsidR="007C7110" w:rsidRPr="00980449">
        <w:rPr>
          <w:sz w:val="24"/>
          <w:szCs w:val="24"/>
          <w:lang w:val="ky-KG"/>
        </w:rPr>
        <w:t>үү</w:t>
      </w:r>
      <w:r w:rsidRPr="00980449">
        <w:rPr>
          <w:sz w:val="24"/>
          <w:szCs w:val="24"/>
          <w:lang w:val="ky-KG"/>
        </w:rPr>
        <w:t xml:space="preserve"> 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нд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р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ш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нд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г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 (</w:t>
      </w:r>
      <w:r w:rsidR="00DB789B" w:rsidRPr="00980449">
        <w:rPr>
          <w:sz w:val="24"/>
          <w:szCs w:val="24"/>
          <w:lang w:val="ky-KG"/>
        </w:rPr>
        <w:t>16,4</w:t>
      </w:r>
      <w:r w:rsidRPr="00980449">
        <w:rPr>
          <w:sz w:val="24"/>
          <w:szCs w:val="24"/>
          <w:lang w:val="ky-KG"/>
        </w:rPr>
        <w:t xml:space="preserve"> пайызы)</w:t>
      </w:r>
      <w:r w:rsidR="00DB789B" w:rsidRPr="00980449">
        <w:rPr>
          <w:sz w:val="24"/>
          <w:szCs w:val="24"/>
          <w:lang w:val="ky-KG"/>
        </w:rPr>
        <w:t xml:space="preserve"> жана</w:t>
      </w:r>
      <w:r w:rsidRPr="00980449">
        <w:rPr>
          <w:sz w:val="24"/>
          <w:szCs w:val="24"/>
          <w:lang w:val="ky-KG"/>
        </w:rPr>
        <w:t xml:space="preserve"> курулуш (</w:t>
      </w:r>
      <w:r w:rsidR="00DB789B" w:rsidRPr="00980449">
        <w:rPr>
          <w:sz w:val="24"/>
          <w:szCs w:val="24"/>
          <w:lang w:val="ky-KG"/>
        </w:rPr>
        <w:t>14,9</w:t>
      </w:r>
      <w:r w:rsidRPr="00980449">
        <w:rPr>
          <w:sz w:val="24"/>
          <w:szCs w:val="24"/>
          <w:lang w:val="ky-KG"/>
        </w:rPr>
        <w:t xml:space="preserve"> пайызы) ишканаларынын карыздарына туура келди.</w:t>
      </w:r>
    </w:p>
    <w:p w:rsidR="00A62179" w:rsidRPr="00980449" w:rsidRDefault="00A62179" w:rsidP="00A62179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 xml:space="preserve">Республиканын ичиндеги ишканалардын карыздарынын </w:t>
      </w:r>
      <w:r w:rsidR="007C7110" w:rsidRPr="00980449">
        <w:rPr>
          <w:sz w:val="24"/>
          <w:szCs w:val="24"/>
          <w:lang w:val="ky-KG"/>
        </w:rPr>
        <w:t>көлөмү 1</w:t>
      </w:r>
      <w:r w:rsidR="00DB789B" w:rsidRPr="00980449">
        <w:rPr>
          <w:sz w:val="24"/>
          <w:szCs w:val="24"/>
          <w:lang w:val="ky-KG"/>
        </w:rPr>
        <w:t>31 795,1</w:t>
      </w:r>
      <w:r w:rsidRPr="00980449">
        <w:rPr>
          <w:sz w:val="24"/>
          <w:szCs w:val="24"/>
          <w:lang w:val="ky-KG"/>
        </w:rPr>
        <w:t xml:space="preserve"> млн. сомду (карыздардын жалпы </w:t>
      </w:r>
      <w:r w:rsidR="007C7110" w:rsidRPr="00980449">
        <w:rPr>
          <w:sz w:val="24"/>
          <w:szCs w:val="24"/>
          <w:lang w:val="ky-KG"/>
        </w:rPr>
        <w:t xml:space="preserve">көлөмүнүн </w:t>
      </w:r>
      <w:r w:rsidR="00DB789B" w:rsidRPr="00980449">
        <w:rPr>
          <w:sz w:val="24"/>
          <w:szCs w:val="24"/>
          <w:lang w:val="ky-KG"/>
        </w:rPr>
        <w:t>75,7</w:t>
      </w:r>
      <w:r w:rsidRPr="00980449">
        <w:rPr>
          <w:sz w:val="24"/>
          <w:szCs w:val="24"/>
          <w:lang w:val="ky-KG"/>
        </w:rPr>
        <w:t xml:space="preserve"> пайызын), КМШдан тышкары 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лк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л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 xml:space="preserve">р </w:t>
      </w:r>
      <w:r w:rsidR="00DB789B" w:rsidRPr="00980449">
        <w:rPr>
          <w:sz w:val="24"/>
          <w:szCs w:val="24"/>
          <w:lang w:val="ky-KG"/>
        </w:rPr>
        <w:t>-</w:t>
      </w:r>
      <w:r w:rsidRPr="00980449">
        <w:rPr>
          <w:sz w:val="24"/>
          <w:szCs w:val="24"/>
          <w:lang w:val="ky-KG"/>
        </w:rPr>
        <w:t xml:space="preserve"> </w:t>
      </w:r>
      <w:r w:rsidR="007C7110" w:rsidRPr="00980449">
        <w:rPr>
          <w:sz w:val="24"/>
          <w:szCs w:val="24"/>
          <w:lang w:val="ky-KG"/>
        </w:rPr>
        <w:t>1</w:t>
      </w:r>
      <w:r w:rsidR="00DB789B" w:rsidRPr="00980449">
        <w:rPr>
          <w:sz w:val="24"/>
          <w:szCs w:val="24"/>
          <w:lang w:val="ky-KG"/>
        </w:rPr>
        <w:t>8 364,6</w:t>
      </w:r>
      <w:r w:rsidRPr="00980449">
        <w:rPr>
          <w:sz w:val="24"/>
          <w:szCs w:val="24"/>
          <w:lang w:val="ky-KG"/>
        </w:rPr>
        <w:t xml:space="preserve"> млн. сомду (</w:t>
      </w:r>
      <w:r w:rsidR="007C7110" w:rsidRPr="00980449">
        <w:rPr>
          <w:sz w:val="24"/>
          <w:szCs w:val="24"/>
          <w:lang w:val="ky-KG"/>
        </w:rPr>
        <w:t>10,</w:t>
      </w:r>
      <w:r w:rsidR="00DB789B" w:rsidRPr="00980449">
        <w:rPr>
          <w:sz w:val="24"/>
          <w:szCs w:val="24"/>
          <w:lang w:val="ky-KG"/>
        </w:rPr>
        <w:t>6</w:t>
      </w:r>
      <w:r w:rsidRPr="00980449">
        <w:rPr>
          <w:sz w:val="24"/>
          <w:szCs w:val="24"/>
          <w:lang w:val="ky-KG"/>
        </w:rPr>
        <w:t xml:space="preserve"> пайызды), КМШ </w:t>
      </w:r>
      <w:r w:rsidR="007C7110" w:rsidRPr="00980449">
        <w:rPr>
          <w:sz w:val="24"/>
          <w:szCs w:val="24"/>
          <w:lang w:val="ky-KG"/>
        </w:rPr>
        <w:t xml:space="preserve">өлкөлөр </w:t>
      </w:r>
      <w:r w:rsidR="00DB789B" w:rsidRPr="00980449">
        <w:rPr>
          <w:sz w:val="24"/>
          <w:szCs w:val="24"/>
          <w:lang w:val="ky-KG"/>
        </w:rPr>
        <w:t>-</w:t>
      </w:r>
      <w:r w:rsidRPr="00980449">
        <w:rPr>
          <w:sz w:val="24"/>
          <w:szCs w:val="24"/>
          <w:lang w:val="ky-KG"/>
        </w:rPr>
        <w:t xml:space="preserve"> </w:t>
      </w:r>
      <w:r w:rsidR="007C7110" w:rsidRPr="00980449">
        <w:rPr>
          <w:sz w:val="24"/>
          <w:szCs w:val="24"/>
          <w:lang w:val="ky-KG"/>
        </w:rPr>
        <w:t>2</w:t>
      </w:r>
      <w:r w:rsidR="00DB789B" w:rsidRPr="00980449">
        <w:rPr>
          <w:sz w:val="24"/>
          <w:szCs w:val="24"/>
          <w:lang w:val="ky-KG"/>
        </w:rPr>
        <w:t>3 834,6</w:t>
      </w:r>
      <w:r w:rsidRPr="00980449">
        <w:rPr>
          <w:sz w:val="24"/>
          <w:szCs w:val="24"/>
          <w:lang w:val="ky-KG"/>
        </w:rPr>
        <w:t xml:space="preserve"> млн. сомду (</w:t>
      </w:r>
      <w:r w:rsidR="007C7110" w:rsidRPr="00980449">
        <w:rPr>
          <w:sz w:val="24"/>
          <w:szCs w:val="24"/>
          <w:lang w:val="ky-KG"/>
        </w:rPr>
        <w:t>1</w:t>
      </w:r>
      <w:r w:rsidR="00DB789B" w:rsidRPr="00980449">
        <w:rPr>
          <w:sz w:val="24"/>
          <w:szCs w:val="24"/>
          <w:lang w:val="ky-KG"/>
        </w:rPr>
        <w:t>3,7</w:t>
      </w:r>
      <w:r w:rsidRPr="00980449">
        <w:rPr>
          <w:sz w:val="24"/>
          <w:szCs w:val="24"/>
          <w:lang w:val="ky-KG"/>
        </w:rPr>
        <w:t xml:space="preserve"> пайызды) т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зд</w:t>
      </w:r>
      <w:r w:rsidR="007C711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. КМШ </w:t>
      </w:r>
      <w:r w:rsidR="007C7110" w:rsidRPr="00980449">
        <w:rPr>
          <w:sz w:val="24"/>
          <w:szCs w:val="24"/>
          <w:lang w:val="ky-KG"/>
        </w:rPr>
        <w:t>өлкөлөрүнүн</w:t>
      </w:r>
      <w:r w:rsidRPr="00980449">
        <w:rPr>
          <w:sz w:val="24"/>
          <w:szCs w:val="24"/>
          <w:lang w:val="ky-KG"/>
        </w:rPr>
        <w:t xml:space="preserve"> </w:t>
      </w:r>
      <w:r w:rsidR="00585ABF" w:rsidRPr="00980449">
        <w:rPr>
          <w:sz w:val="24"/>
          <w:szCs w:val="24"/>
          <w:lang w:val="ky-KG"/>
        </w:rPr>
        <w:t>арасынан</w:t>
      </w:r>
      <w:r w:rsidRPr="00980449">
        <w:rPr>
          <w:sz w:val="24"/>
          <w:szCs w:val="24"/>
          <w:lang w:val="ky-KG"/>
        </w:rPr>
        <w:t xml:space="preserve"> негизги 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н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кт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шт</w:t>
      </w:r>
      <w:r w:rsidR="007C711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р болуп Россия (</w:t>
      </w:r>
      <w:r w:rsidR="00D02867" w:rsidRPr="00980449">
        <w:rPr>
          <w:sz w:val="24"/>
          <w:szCs w:val="24"/>
          <w:lang w:val="ky-KG"/>
        </w:rPr>
        <w:t>10</w:t>
      </w:r>
      <w:r w:rsidR="00DB789B" w:rsidRPr="00980449">
        <w:rPr>
          <w:sz w:val="24"/>
          <w:szCs w:val="24"/>
          <w:lang w:val="ky-KG"/>
        </w:rPr>
        <w:t> 464,4</w:t>
      </w:r>
      <w:r w:rsidRPr="00980449">
        <w:rPr>
          <w:sz w:val="24"/>
          <w:szCs w:val="24"/>
          <w:lang w:val="ky-KG"/>
        </w:rPr>
        <w:t xml:space="preserve"> млн. сом), Казакстан (</w:t>
      </w:r>
      <w:r w:rsidR="00D02867" w:rsidRPr="00980449">
        <w:rPr>
          <w:sz w:val="24"/>
          <w:szCs w:val="24"/>
          <w:lang w:val="ky-KG"/>
        </w:rPr>
        <w:t>9</w:t>
      </w:r>
      <w:r w:rsidR="00DB789B" w:rsidRPr="00980449">
        <w:rPr>
          <w:sz w:val="24"/>
          <w:szCs w:val="24"/>
          <w:lang w:val="ky-KG"/>
        </w:rPr>
        <w:t> 751,4</w:t>
      </w:r>
      <w:r w:rsidRPr="00980449">
        <w:rPr>
          <w:sz w:val="24"/>
          <w:szCs w:val="24"/>
          <w:lang w:val="ky-KG"/>
        </w:rPr>
        <w:t xml:space="preserve"> млн.) жана </w:t>
      </w:r>
      <w:r w:rsidR="00D36A46" w:rsidRPr="00980449">
        <w:rPr>
          <w:color w:val="000000"/>
          <w:sz w:val="24"/>
          <w:szCs w:val="24"/>
          <w:lang w:val="ky-KG"/>
        </w:rPr>
        <w:t>Өзбек</w:t>
      </w:r>
      <w:r w:rsidRPr="00980449">
        <w:rPr>
          <w:sz w:val="24"/>
          <w:szCs w:val="24"/>
          <w:lang w:val="ky-KG"/>
        </w:rPr>
        <w:t>стан (</w:t>
      </w:r>
      <w:r w:rsidR="00DB789B" w:rsidRPr="00980449">
        <w:rPr>
          <w:sz w:val="24"/>
          <w:szCs w:val="24"/>
          <w:lang w:val="ky-KG"/>
        </w:rPr>
        <w:t>2 007,7</w:t>
      </w:r>
      <w:r w:rsidR="00C7377D" w:rsidRPr="00980449">
        <w:rPr>
          <w:sz w:val="24"/>
          <w:szCs w:val="24"/>
          <w:lang w:val="ky-KG"/>
        </w:rPr>
        <w:t xml:space="preserve"> млн. сом) саналды.</w:t>
      </w:r>
    </w:p>
    <w:p w:rsidR="006D50E3" w:rsidRPr="00980449" w:rsidRDefault="00A62179" w:rsidP="006D50E3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20</w:t>
      </w:r>
      <w:r w:rsidR="000261D6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 xml:space="preserve">-жылдын аягына карата </w:t>
      </w:r>
      <w:r w:rsidR="000261D6" w:rsidRPr="00980449">
        <w:rPr>
          <w:sz w:val="24"/>
          <w:szCs w:val="24"/>
          <w:lang w:val="ky-KG"/>
        </w:rPr>
        <w:t>7 382,7</w:t>
      </w:r>
      <w:r w:rsidRPr="00980449">
        <w:rPr>
          <w:sz w:val="24"/>
          <w:szCs w:val="24"/>
          <w:lang w:val="ky-KG"/>
        </w:rPr>
        <w:t xml:space="preserve"> млн. сом </w:t>
      </w:r>
      <w:r w:rsidR="000261D6" w:rsidRPr="00980449">
        <w:rPr>
          <w:sz w:val="24"/>
          <w:szCs w:val="24"/>
          <w:lang w:val="ky-KG"/>
        </w:rPr>
        <w:t xml:space="preserve">(же </w:t>
      </w:r>
      <w:r w:rsidR="00E809E9" w:rsidRPr="00980449">
        <w:rPr>
          <w:sz w:val="24"/>
          <w:szCs w:val="24"/>
          <w:lang w:val="ky-KG"/>
        </w:rPr>
        <w:t xml:space="preserve">жалпы көлөмүнүн 4,2 пайызы) </w:t>
      </w:r>
      <w:r w:rsidRPr="00980449">
        <w:rPr>
          <w:sz w:val="24"/>
          <w:szCs w:val="24"/>
          <w:lang w:val="ky-KG"/>
        </w:rPr>
        <w:t xml:space="preserve">суммасына </w:t>
      </w:r>
      <w:r w:rsidR="00D02867" w:rsidRPr="00980449">
        <w:rPr>
          <w:sz w:val="24"/>
          <w:szCs w:val="24"/>
          <w:lang w:val="ky-KG"/>
        </w:rPr>
        <w:t>республиканын экономикасынын реалдуу секторунун ишканаларынын</w:t>
      </w:r>
      <w:r w:rsidRPr="00980449">
        <w:rPr>
          <w:sz w:val="24"/>
          <w:szCs w:val="24"/>
          <w:lang w:val="ky-KG"/>
        </w:rPr>
        <w:t xml:space="preserve"> дебитордук карыз</w:t>
      </w:r>
      <w:r w:rsidR="002D04B6" w:rsidRPr="00980449">
        <w:rPr>
          <w:sz w:val="24"/>
          <w:szCs w:val="24"/>
          <w:lang w:val="ky-KG"/>
        </w:rPr>
        <w:t>ы</w:t>
      </w:r>
      <w:r w:rsidRPr="00980449">
        <w:rPr>
          <w:sz w:val="24"/>
          <w:szCs w:val="24"/>
          <w:lang w:val="ky-KG"/>
        </w:rPr>
        <w:t xml:space="preserve"> боюнча карыздарды т</w:t>
      </w:r>
      <w:r w:rsidR="00D02867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л</w:t>
      </w:r>
      <w:r w:rsidR="00D02867" w:rsidRPr="00980449">
        <w:rPr>
          <w:sz w:val="24"/>
          <w:szCs w:val="24"/>
          <w:lang w:val="ky-KG"/>
        </w:rPr>
        <w:t>өө</w:t>
      </w:r>
      <w:r w:rsidRPr="00980449">
        <w:rPr>
          <w:sz w:val="24"/>
          <w:szCs w:val="24"/>
          <w:lang w:val="ky-KG"/>
        </w:rPr>
        <w:t>нүн м</w:t>
      </w:r>
      <w:r w:rsidR="00D02867" w:rsidRPr="00980449">
        <w:rPr>
          <w:sz w:val="24"/>
          <w:szCs w:val="24"/>
          <w:lang w:val="ky-KG"/>
        </w:rPr>
        <w:t>өө</w:t>
      </w:r>
      <w:r w:rsidRPr="00980449">
        <w:rPr>
          <w:sz w:val="24"/>
          <w:szCs w:val="24"/>
          <w:lang w:val="ky-KG"/>
        </w:rPr>
        <w:t>н</w:t>
      </w:r>
      <w:r w:rsidR="00D02867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тү кечиктирилген</w:t>
      </w:r>
      <w:r w:rsidR="00D02867" w:rsidRPr="00980449">
        <w:rPr>
          <w:sz w:val="24"/>
          <w:szCs w:val="24"/>
          <w:lang w:val="ky-KG"/>
        </w:rPr>
        <w:t>, бул 201</w:t>
      </w:r>
      <w:r w:rsidR="000261D6" w:rsidRPr="00980449">
        <w:rPr>
          <w:sz w:val="24"/>
          <w:szCs w:val="24"/>
          <w:lang w:val="ky-KG"/>
        </w:rPr>
        <w:t>9</w:t>
      </w:r>
      <w:r w:rsidR="00D02867" w:rsidRPr="00980449">
        <w:rPr>
          <w:sz w:val="24"/>
          <w:szCs w:val="24"/>
          <w:lang w:val="ky-KG"/>
        </w:rPr>
        <w:t>-жылдын көлөмүнөн</w:t>
      </w:r>
      <w:r w:rsidRPr="00980449">
        <w:rPr>
          <w:sz w:val="24"/>
          <w:szCs w:val="24"/>
          <w:lang w:val="ky-KG"/>
        </w:rPr>
        <w:t xml:space="preserve"> </w:t>
      </w:r>
      <w:r w:rsidR="000261D6" w:rsidRPr="00980449">
        <w:rPr>
          <w:sz w:val="24"/>
          <w:szCs w:val="24"/>
          <w:lang w:val="ky-KG"/>
        </w:rPr>
        <w:t>1,8 эсеге</w:t>
      </w:r>
      <w:r w:rsidR="00D02867" w:rsidRPr="00980449">
        <w:rPr>
          <w:sz w:val="24"/>
          <w:szCs w:val="24"/>
          <w:lang w:val="ky-KG"/>
        </w:rPr>
        <w:t xml:space="preserve"> жана 201</w:t>
      </w:r>
      <w:r w:rsidR="000261D6" w:rsidRPr="00980449">
        <w:rPr>
          <w:sz w:val="24"/>
          <w:szCs w:val="24"/>
          <w:lang w:val="ky-KG"/>
        </w:rPr>
        <w:t>6</w:t>
      </w:r>
      <w:r w:rsidR="00D02867" w:rsidRPr="00980449">
        <w:rPr>
          <w:sz w:val="24"/>
          <w:szCs w:val="24"/>
          <w:lang w:val="ky-KG"/>
        </w:rPr>
        <w:t xml:space="preserve">-жылдын көлөмүнөн </w:t>
      </w:r>
      <w:r w:rsidR="008A7E12" w:rsidRPr="00980449">
        <w:rPr>
          <w:sz w:val="24"/>
          <w:szCs w:val="24"/>
          <w:lang w:val="ky-KG"/>
        </w:rPr>
        <w:t>-</w:t>
      </w:r>
      <w:r w:rsidR="00D02867" w:rsidRPr="00980449">
        <w:rPr>
          <w:sz w:val="24"/>
          <w:szCs w:val="24"/>
          <w:lang w:val="ky-KG"/>
        </w:rPr>
        <w:t xml:space="preserve"> </w:t>
      </w:r>
      <w:r w:rsidR="000261D6" w:rsidRPr="00980449">
        <w:rPr>
          <w:sz w:val="24"/>
          <w:szCs w:val="24"/>
          <w:lang w:val="ky-KG"/>
        </w:rPr>
        <w:t>1</w:t>
      </w:r>
      <w:r w:rsidR="00D02867" w:rsidRPr="00980449">
        <w:rPr>
          <w:sz w:val="24"/>
          <w:szCs w:val="24"/>
          <w:lang w:val="ky-KG"/>
        </w:rPr>
        <w:t xml:space="preserve">,5 эсеге </w:t>
      </w:r>
      <w:r w:rsidR="000261D6" w:rsidRPr="00980449">
        <w:rPr>
          <w:color w:val="000000"/>
          <w:sz w:val="24"/>
          <w:szCs w:val="24"/>
          <w:lang w:val="ky-KG"/>
        </w:rPr>
        <w:t>к</w:t>
      </w:r>
      <w:r w:rsidR="000261D6" w:rsidRPr="00980449">
        <w:rPr>
          <w:sz w:val="24"/>
          <w:szCs w:val="24"/>
          <w:lang w:val="ky-KG"/>
        </w:rPr>
        <w:t>өп</w:t>
      </w:r>
      <w:r w:rsidR="00D02867" w:rsidRPr="00980449">
        <w:rPr>
          <w:sz w:val="24"/>
          <w:szCs w:val="24"/>
          <w:lang w:val="ky-KG"/>
        </w:rPr>
        <w:t>.</w:t>
      </w:r>
      <w:r w:rsidR="006D50E3" w:rsidRPr="00980449">
        <w:rPr>
          <w:sz w:val="24"/>
          <w:szCs w:val="24"/>
          <w:lang w:val="ky-KG"/>
        </w:rPr>
        <w:t xml:space="preserve"> </w:t>
      </w:r>
    </w:p>
    <w:p w:rsidR="00A62179" w:rsidRPr="00980449" w:rsidRDefault="006D50E3" w:rsidP="00D66C4A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М</w:t>
      </w:r>
      <w:r w:rsidR="00585ABF" w:rsidRPr="00980449">
        <w:rPr>
          <w:sz w:val="24"/>
          <w:szCs w:val="24"/>
          <w:lang w:val="ky-KG"/>
        </w:rPr>
        <w:t xml:space="preserve">өөнөтү өткөн </w:t>
      </w:r>
      <w:r w:rsidRPr="00980449">
        <w:rPr>
          <w:sz w:val="24"/>
          <w:szCs w:val="24"/>
          <w:lang w:val="ky-KG"/>
        </w:rPr>
        <w:t xml:space="preserve">дебитордук карыздардын негизги </w:t>
      </w:r>
      <w:r w:rsidR="00585ABF" w:rsidRPr="00980449">
        <w:rPr>
          <w:sz w:val="24"/>
          <w:szCs w:val="24"/>
          <w:lang w:val="ky-KG"/>
        </w:rPr>
        <w:t>үлүшү (</w:t>
      </w:r>
      <w:r w:rsidR="00BE0B8C" w:rsidRPr="00980449">
        <w:rPr>
          <w:sz w:val="24"/>
          <w:szCs w:val="24"/>
          <w:lang w:val="ky-KG"/>
        </w:rPr>
        <w:t>69,5</w:t>
      </w:r>
      <w:r w:rsidR="00585ABF" w:rsidRPr="00980449">
        <w:rPr>
          <w:sz w:val="24"/>
          <w:szCs w:val="24"/>
          <w:lang w:val="ky-KG"/>
        </w:rPr>
        <w:t xml:space="preserve"> пайызы)</w:t>
      </w:r>
      <w:r w:rsidR="00FF3C01" w:rsidRPr="00980449">
        <w:rPr>
          <w:sz w:val="24"/>
          <w:szCs w:val="24"/>
          <w:lang w:val="ky-KG"/>
        </w:rPr>
        <w:t xml:space="preserve"> </w:t>
      </w:r>
      <w:r w:rsidR="00585ABF" w:rsidRPr="00980449">
        <w:rPr>
          <w:sz w:val="24"/>
          <w:szCs w:val="24"/>
          <w:lang w:val="ky-KG"/>
        </w:rPr>
        <w:t xml:space="preserve">республикалык ички эсептешүүлөргө, ал эми анын көлөмүнүн </w:t>
      </w:r>
      <w:r w:rsidR="00BE0B8C" w:rsidRPr="00980449">
        <w:rPr>
          <w:sz w:val="24"/>
          <w:szCs w:val="24"/>
          <w:lang w:val="ky-KG"/>
        </w:rPr>
        <w:t>17,7</w:t>
      </w:r>
      <w:r w:rsidR="00585ABF" w:rsidRPr="00980449">
        <w:rPr>
          <w:sz w:val="24"/>
          <w:szCs w:val="24"/>
          <w:lang w:val="ky-KG"/>
        </w:rPr>
        <w:t xml:space="preserve"> пайызы </w:t>
      </w:r>
      <w:r w:rsidR="00FF3C01" w:rsidRPr="00980449">
        <w:rPr>
          <w:sz w:val="24"/>
          <w:szCs w:val="24"/>
          <w:lang w:val="ky-KG"/>
        </w:rPr>
        <w:t>-</w:t>
      </w:r>
      <w:r w:rsidR="00585ABF" w:rsidRPr="00980449">
        <w:rPr>
          <w:sz w:val="24"/>
          <w:szCs w:val="24"/>
          <w:lang w:val="ky-KG"/>
        </w:rPr>
        <w:t xml:space="preserve"> КМШдан тышкары өлкөлөрдүн керектөөчүлөрүнө туура келген.</w:t>
      </w:r>
      <w:r w:rsidR="002B0C8D" w:rsidRPr="00980449">
        <w:rPr>
          <w:sz w:val="24"/>
          <w:szCs w:val="24"/>
          <w:lang w:val="ky-KG"/>
        </w:rPr>
        <w:t xml:space="preserve"> </w:t>
      </w:r>
      <w:r w:rsidR="00A62179" w:rsidRPr="00980449">
        <w:rPr>
          <w:sz w:val="24"/>
          <w:szCs w:val="24"/>
          <w:lang w:val="ky-KG"/>
        </w:rPr>
        <w:t>Тармактар боюнча б</w:t>
      </w:r>
      <w:r w:rsidR="006669B2" w:rsidRPr="00980449">
        <w:rPr>
          <w:sz w:val="24"/>
          <w:szCs w:val="24"/>
          <w:lang w:val="ky-KG"/>
        </w:rPr>
        <w:t>ө</w:t>
      </w:r>
      <w:r w:rsidR="00A62179" w:rsidRPr="00980449">
        <w:rPr>
          <w:sz w:val="24"/>
          <w:szCs w:val="24"/>
          <w:lang w:val="ky-KG"/>
        </w:rPr>
        <w:t>л</w:t>
      </w:r>
      <w:r w:rsidR="006669B2" w:rsidRPr="00980449">
        <w:rPr>
          <w:sz w:val="24"/>
          <w:szCs w:val="24"/>
          <w:lang w:val="ky-KG"/>
        </w:rPr>
        <w:t>ү</w:t>
      </w:r>
      <w:r w:rsidR="00A62179" w:rsidRPr="00980449">
        <w:rPr>
          <w:sz w:val="24"/>
          <w:szCs w:val="24"/>
          <w:lang w:val="ky-KG"/>
        </w:rPr>
        <w:t>н</w:t>
      </w:r>
      <w:r w:rsidR="006669B2" w:rsidRPr="00980449">
        <w:rPr>
          <w:sz w:val="24"/>
          <w:szCs w:val="24"/>
          <w:lang w:val="ky-KG"/>
        </w:rPr>
        <w:t>ү</w:t>
      </w:r>
      <w:r w:rsidR="00A62179" w:rsidRPr="00980449">
        <w:rPr>
          <w:sz w:val="24"/>
          <w:szCs w:val="24"/>
          <w:lang w:val="ky-KG"/>
        </w:rPr>
        <w:t>ш</w:t>
      </w:r>
      <w:r w:rsidR="006669B2" w:rsidRPr="00980449">
        <w:rPr>
          <w:sz w:val="24"/>
          <w:szCs w:val="24"/>
          <w:lang w:val="ky-KG"/>
        </w:rPr>
        <w:t>ү</w:t>
      </w:r>
      <w:r w:rsidR="00A62179" w:rsidRPr="00980449">
        <w:rPr>
          <w:sz w:val="24"/>
          <w:szCs w:val="24"/>
          <w:lang w:val="ky-KG"/>
        </w:rPr>
        <w:t>нд</w:t>
      </w:r>
      <w:r w:rsidR="006669B2" w:rsidRPr="00980449">
        <w:rPr>
          <w:sz w:val="24"/>
          <w:szCs w:val="24"/>
          <w:lang w:val="ky-KG"/>
        </w:rPr>
        <w:t>ө</w:t>
      </w:r>
      <w:r w:rsidR="00A62179" w:rsidRPr="00980449">
        <w:rPr>
          <w:sz w:val="24"/>
          <w:szCs w:val="24"/>
          <w:lang w:val="ky-KG"/>
        </w:rPr>
        <w:t xml:space="preserve"> </w:t>
      </w:r>
      <w:r w:rsidR="006669B2" w:rsidRPr="00980449">
        <w:rPr>
          <w:sz w:val="24"/>
          <w:szCs w:val="24"/>
          <w:lang w:val="ky-KG"/>
        </w:rPr>
        <w:t xml:space="preserve">мөөнөтү өткөн </w:t>
      </w:r>
      <w:r w:rsidR="00A62179" w:rsidRPr="00980449">
        <w:rPr>
          <w:sz w:val="24"/>
          <w:szCs w:val="24"/>
          <w:lang w:val="ky-KG"/>
        </w:rPr>
        <w:t xml:space="preserve">карыздардын </w:t>
      </w:r>
      <w:r w:rsidR="00A62179" w:rsidRPr="00980449">
        <w:rPr>
          <w:sz w:val="24"/>
          <w:szCs w:val="24"/>
          <w:lang w:val="ky-KG"/>
        </w:rPr>
        <w:lastRenderedPageBreak/>
        <w:t xml:space="preserve">олуттуу </w:t>
      </w:r>
      <w:r w:rsidR="006669B2" w:rsidRPr="00980449">
        <w:rPr>
          <w:sz w:val="24"/>
          <w:szCs w:val="24"/>
          <w:lang w:val="ky-KG"/>
        </w:rPr>
        <w:t xml:space="preserve">көлөмү </w:t>
      </w:r>
      <w:r w:rsidR="00A62179" w:rsidRPr="00980449">
        <w:rPr>
          <w:sz w:val="24"/>
          <w:szCs w:val="24"/>
          <w:lang w:val="ky-KG"/>
        </w:rPr>
        <w:t>(</w:t>
      </w:r>
      <w:r w:rsidR="00584046" w:rsidRPr="00980449">
        <w:rPr>
          <w:sz w:val="24"/>
          <w:szCs w:val="24"/>
          <w:lang w:val="ky-KG"/>
        </w:rPr>
        <w:t>43,5</w:t>
      </w:r>
      <w:r w:rsidR="00A62179" w:rsidRPr="00980449">
        <w:rPr>
          <w:sz w:val="24"/>
          <w:szCs w:val="24"/>
          <w:lang w:val="ky-KG"/>
        </w:rPr>
        <w:t xml:space="preserve"> пайызы же </w:t>
      </w:r>
      <w:r w:rsidR="00584046" w:rsidRPr="00980449">
        <w:rPr>
          <w:sz w:val="24"/>
          <w:szCs w:val="24"/>
          <w:lang w:val="ky-KG"/>
        </w:rPr>
        <w:t>3 209,4</w:t>
      </w:r>
      <w:r w:rsidR="00A62179" w:rsidRPr="00980449">
        <w:rPr>
          <w:sz w:val="24"/>
          <w:szCs w:val="24"/>
          <w:lang w:val="ky-KG"/>
        </w:rPr>
        <w:t xml:space="preserve"> млн. сому) </w:t>
      </w:r>
      <w:r w:rsidR="00584046" w:rsidRPr="00980449">
        <w:rPr>
          <w:sz w:val="24"/>
          <w:szCs w:val="24"/>
          <w:lang w:val="ky-KG"/>
        </w:rPr>
        <w:t>кокс жана тазаланган мунайзат продуктуларын өндүрүү</w:t>
      </w:r>
      <w:r w:rsidR="00A62179" w:rsidRPr="00980449">
        <w:rPr>
          <w:sz w:val="24"/>
          <w:szCs w:val="24"/>
          <w:lang w:val="ky-KG"/>
        </w:rPr>
        <w:t xml:space="preserve"> ишканалар</w:t>
      </w:r>
      <w:r w:rsidR="005E56B7" w:rsidRPr="00980449">
        <w:rPr>
          <w:sz w:val="24"/>
          <w:szCs w:val="24"/>
          <w:lang w:val="ky-KG"/>
        </w:rPr>
        <w:t>г</w:t>
      </w:r>
      <w:r w:rsidR="00A62179" w:rsidRPr="00980449">
        <w:rPr>
          <w:sz w:val="24"/>
          <w:szCs w:val="24"/>
          <w:lang w:val="ky-KG"/>
        </w:rPr>
        <w:t>а туура келген.</w:t>
      </w:r>
    </w:p>
    <w:p w:rsidR="00A62179" w:rsidRPr="00980449" w:rsidRDefault="00A62179" w:rsidP="00D66C4A">
      <w:pPr>
        <w:spacing w:before="120"/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20</w:t>
      </w:r>
      <w:r w:rsidR="00087C90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>-жылдын аягына карата кредитордук карыз 201</w:t>
      </w:r>
      <w:r w:rsidR="00087C90" w:rsidRPr="00980449">
        <w:rPr>
          <w:sz w:val="24"/>
          <w:szCs w:val="24"/>
          <w:lang w:val="ky-KG"/>
        </w:rPr>
        <w:t>9</w:t>
      </w:r>
      <w:r w:rsidR="006669B2" w:rsidRPr="00980449">
        <w:rPr>
          <w:sz w:val="24"/>
          <w:szCs w:val="24"/>
          <w:lang w:val="ky-KG"/>
        </w:rPr>
        <w:t>-жыл</w:t>
      </w:r>
      <w:r w:rsidR="005E56B7" w:rsidRPr="00980449">
        <w:rPr>
          <w:sz w:val="24"/>
          <w:szCs w:val="24"/>
          <w:lang w:val="ky-KG"/>
        </w:rPr>
        <w:t>га</w:t>
      </w:r>
      <w:r w:rsidRPr="00980449">
        <w:rPr>
          <w:sz w:val="24"/>
          <w:szCs w:val="24"/>
          <w:lang w:val="ky-KG"/>
        </w:rPr>
        <w:t xml:space="preserve"> салыштыр</w:t>
      </w:r>
      <w:r w:rsidR="005E56B7" w:rsidRPr="00980449">
        <w:rPr>
          <w:sz w:val="24"/>
          <w:szCs w:val="24"/>
          <w:lang w:val="ky-KG"/>
        </w:rPr>
        <w:t>малуу</w:t>
      </w:r>
      <w:r w:rsidRPr="00980449">
        <w:rPr>
          <w:sz w:val="24"/>
          <w:szCs w:val="24"/>
          <w:lang w:val="ky-KG"/>
        </w:rPr>
        <w:t xml:space="preserve"> </w:t>
      </w:r>
      <w:r w:rsidR="00087C90" w:rsidRPr="00980449">
        <w:rPr>
          <w:sz w:val="24"/>
          <w:szCs w:val="24"/>
          <w:lang w:val="ky-KG"/>
        </w:rPr>
        <w:t>7,8</w:t>
      </w:r>
      <w:r w:rsidR="006669B2" w:rsidRPr="00980449">
        <w:rPr>
          <w:sz w:val="24"/>
          <w:szCs w:val="24"/>
          <w:lang w:val="ky-KG"/>
        </w:rPr>
        <w:t xml:space="preserve"> пайызга көбөйүп, 2</w:t>
      </w:r>
      <w:r w:rsidR="00087C90" w:rsidRPr="00980449">
        <w:rPr>
          <w:sz w:val="24"/>
          <w:szCs w:val="24"/>
          <w:lang w:val="ky-KG"/>
        </w:rPr>
        <w:t>65 101,3</w:t>
      </w:r>
      <w:r w:rsidRPr="00980449">
        <w:rPr>
          <w:sz w:val="24"/>
          <w:szCs w:val="24"/>
          <w:lang w:val="ky-KG"/>
        </w:rPr>
        <w:t xml:space="preserve"> млн. сом </w:t>
      </w:r>
      <w:r w:rsidR="006669B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лч</w:t>
      </w:r>
      <w:r w:rsidR="006669B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м</w:t>
      </w:r>
      <w:r w:rsidR="006669B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нд</w:t>
      </w:r>
      <w:r w:rsidR="006669B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 xml:space="preserve"> аныкталды. </w:t>
      </w:r>
    </w:p>
    <w:p w:rsidR="00A62179" w:rsidRPr="00980449" w:rsidRDefault="00A62179" w:rsidP="00D66C4A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20</w:t>
      </w:r>
      <w:r w:rsidR="00087C90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 xml:space="preserve">-жылы </w:t>
      </w:r>
      <w:r w:rsidR="006669B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тк</w:t>
      </w:r>
      <w:r w:rsidR="006669B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 xml:space="preserve">н жылга </w:t>
      </w:r>
      <w:r w:rsidRPr="00980449">
        <w:rPr>
          <w:sz w:val="24"/>
          <w:szCs w:val="24"/>
          <w:lang w:val="ky-KG"/>
        </w:rPr>
        <w:t xml:space="preserve">салыштырмалуу кредитордук карыздын </w:t>
      </w:r>
      <w:r w:rsidR="006418C0" w:rsidRPr="00980449">
        <w:rPr>
          <w:sz w:val="24"/>
          <w:szCs w:val="24"/>
          <w:lang w:val="ky-KG"/>
        </w:rPr>
        <w:t>максималдуу</w:t>
      </w:r>
      <w:r w:rsidRPr="00980449">
        <w:rPr>
          <w:sz w:val="24"/>
          <w:szCs w:val="24"/>
          <w:lang w:val="ky-KG"/>
        </w:rPr>
        <w:t xml:space="preserve"> </w:t>
      </w:r>
      <w:r w:rsidR="006418C0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с</w:t>
      </w:r>
      <w:r w:rsidR="006418C0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ш</w:t>
      </w:r>
      <w:r w:rsidR="006418C0" w:rsidRPr="00980449">
        <w:rPr>
          <w:sz w:val="24"/>
          <w:szCs w:val="24"/>
          <w:lang w:val="ky-KG"/>
        </w:rPr>
        <w:t>ү дү</w:t>
      </w:r>
      <w:r w:rsidR="006418C0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6418C0" w:rsidRPr="00980449">
        <w:rPr>
          <w:sz w:val="24"/>
          <w:szCs w:val="24"/>
          <w:lang w:val="ky-KG"/>
        </w:rPr>
        <w:t xml:space="preserve"> жана чекене соода, автоунааларды жана мотоциклдерди о</w:t>
      </w:r>
      <w:r w:rsidR="006418C0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6418C0" w:rsidRPr="00980449">
        <w:rPr>
          <w:sz w:val="24"/>
          <w:szCs w:val="24"/>
          <w:lang w:val="ky-KG"/>
        </w:rPr>
        <w:t>доо</w:t>
      </w:r>
      <w:r w:rsidRPr="00980449">
        <w:rPr>
          <w:sz w:val="24"/>
          <w:szCs w:val="24"/>
          <w:lang w:val="ky-KG"/>
        </w:rPr>
        <w:t xml:space="preserve"> </w:t>
      </w:r>
      <w:r w:rsidR="00192854" w:rsidRPr="00980449">
        <w:rPr>
          <w:sz w:val="24"/>
          <w:szCs w:val="24"/>
          <w:lang w:val="ky-KG"/>
        </w:rPr>
        <w:t xml:space="preserve">уюмдарында </w:t>
      </w:r>
      <w:r w:rsidR="006418C0" w:rsidRPr="00980449">
        <w:rPr>
          <w:sz w:val="24"/>
          <w:szCs w:val="24"/>
          <w:lang w:val="ky-KG"/>
        </w:rPr>
        <w:t>(</w:t>
      </w:r>
      <w:r w:rsidR="00192854" w:rsidRPr="00980449">
        <w:rPr>
          <w:sz w:val="24"/>
          <w:szCs w:val="24"/>
          <w:lang w:val="ky-KG"/>
        </w:rPr>
        <w:t>8 432,6</w:t>
      </w:r>
      <w:r w:rsidR="006418C0" w:rsidRPr="00980449">
        <w:rPr>
          <w:sz w:val="24"/>
          <w:szCs w:val="24"/>
          <w:lang w:val="ky-KG"/>
        </w:rPr>
        <w:t xml:space="preserve"> млн.</w:t>
      </w:r>
      <w:r w:rsidR="00192854" w:rsidRPr="00980449">
        <w:rPr>
          <w:sz w:val="24"/>
          <w:szCs w:val="24"/>
          <w:lang w:val="ky-KG"/>
        </w:rPr>
        <w:t xml:space="preserve"> сомго</w:t>
      </w:r>
      <w:r w:rsidR="006418C0" w:rsidRPr="00980449">
        <w:rPr>
          <w:sz w:val="24"/>
          <w:szCs w:val="24"/>
          <w:lang w:val="ky-KG"/>
        </w:rPr>
        <w:t>)</w:t>
      </w:r>
      <w:r w:rsidRPr="00980449">
        <w:rPr>
          <w:sz w:val="24"/>
          <w:szCs w:val="24"/>
          <w:lang w:val="ky-KG"/>
        </w:rPr>
        <w:t xml:space="preserve">, </w:t>
      </w:r>
      <w:r w:rsidR="009D1A38" w:rsidRPr="00980449">
        <w:rPr>
          <w:sz w:val="24"/>
          <w:szCs w:val="24"/>
          <w:lang w:val="ky-KG"/>
        </w:rPr>
        <w:t>кесиптик, илимий жана техникалык ишмердик (анын ичинде геологиялык чалгындоо) (3 070,2 млн.), кокс жана тазаланган мунайзат продуктуларын</w:t>
      </w:r>
      <w:r w:rsidR="006418C0" w:rsidRPr="00980449">
        <w:rPr>
          <w:sz w:val="24"/>
          <w:szCs w:val="24"/>
          <w:lang w:val="ky-KG"/>
        </w:rPr>
        <w:t xml:space="preserve"> өндүрүү</w:t>
      </w:r>
      <w:r w:rsidR="00B029FF" w:rsidRPr="00980449">
        <w:rPr>
          <w:sz w:val="24"/>
          <w:szCs w:val="24"/>
          <w:lang w:val="ky-KG"/>
        </w:rPr>
        <w:t xml:space="preserve"> </w:t>
      </w:r>
      <w:r w:rsidR="006418C0" w:rsidRPr="00980449">
        <w:rPr>
          <w:sz w:val="24"/>
          <w:szCs w:val="24"/>
          <w:lang w:val="ky-KG"/>
        </w:rPr>
        <w:t>ишканаларында (</w:t>
      </w:r>
      <w:r w:rsidR="009D1A38" w:rsidRPr="00980449">
        <w:rPr>
          <w:sz w:val="24"/>
          <w:szCs w:val="24"/>
          <w:lang w:val="ky-KG"/>
        </w:rPr>
        <w:t>2 928,1</w:t>
      </w:r>
      <w:r w:rsidR="006418C0" w:rsidRPr="00980449">
        <w:rPr>
          <w:sz w:val="24"/>
          <w:szCs w:val="24"/>
          <w:lang w:val="ky-KG"/>
        </w:rPr>
        <w:t xml:space="preserve"> млн. сомго) </w:t>
      </w:r>
      <w:r w:rsidR="00B029FF" w:rsidRPr="00980449">
        <w:rPr>
          <w:sz w:val="24"/>
          <w:szCs w:val="24"/>
          <w:lang w:val="ky-KG"/>
        </w:rPr>
        <w:t>катталды</w:t>
      </w:r>
      <w:r w:rsidR="00043F56" w:rsidRPr="00980449">
        <w:rPr>
          <w:sz w:val="24"/>
          <w:szCs w:val="24"/>
          <w:lang w:val="ky-KG"/>
        </w:rPr>
        <w:t xml:space="preserve">. Ошондой эле </w:t>
      </w:r>
      <w:r w:rsidR="009D1A38" w:rsidRPr="00980449">
        <w:rPr>
          <w:sz w:val="24"/>
          <w:szCs w:val="24"/>
          <w:lang w:val="ky-KG"/>
        </w:rPr>
        <w:t>кыймылсыз мүлк менен болгон операциялар боюнча</w:t>
      </w:r>
      <w:r w:rsidR="00043F56" w:rsidRPr="00980449">
        <w:rPr>
          <w:sz w:val="24"/>
          <w:szCs w:val="24"/>
          <w:lang w:val="ky-KG"/>
        </w:rPr>
        <w:t xml:space="preserve"> уюмдар</w:t>
      </w:r>
      <w:r w:rsidR="00B029FF" w:rsidRPr="00980449">
        <w:rPr>
          <w:sz w:val="24"/>
          <w:szCs w:val="24"/>
          <w:lang w:val="ky-KG"/>
        </w:rPr>
        <w:t>ын</w:t>
      </w:r>
      <w:r w:rsidR="00043F56" w:rsidRPr="00980449">
        <w:rPr>
          <w:sz w:val="24"/>
          <w:szCs w:val="24"/>
          <w:lang w:val="ky-KG"/>
        </w:rPr>
        <w:t>ын (</w:t>
      </w:r>
      <w:r w:rsidR="009D1A38" w:rsidRPr="00980449">
        <w:rPr>
          <w:sz w:val="24"/>
          <w:szCs w:val="24"/>
          <w:lang w:val="ky-KG"/>
        </w:rPr>
        <w:t>2 480,5</w:t>
      </w:r>
      <w:r w:rsidR="00043F56" w:rsidRPr="00980449">
        <w:rPr>
          <w:sz w:val="24"/>
          <w:szCs w:val="24"/>
          <w:lang w:val="ky-KG"/>
        </w:rPr>
        <w:t xml:space="preserve"> млн. сомго), </w:t>
      </w:r>
      <w:r w:rsidR="009D1A38" w:rsidRPr="00980449">
        <w:rPr>
          <w:sz w:val="24"/>
          <w:szCs w:val="24"/>
          <w:lang w:val="ky-KG"/>
        </w:rPr>
        <w:t>курулуш</w:t>
      </w:r>
      <w:r w:rsidR="00043F56" w:rsidRPr="00980449">
        <w:rPr>
          <w:sz w:val="24"/>
          <w:szCs w:val="24"/>
          <w:lang w:val="ky-KG"/>
        </w:rPr>
        <w:t xml:space="preserve"> (</w:t>
      </w:r>
      <w:r w:rsidR="009D1A38" w:rsidRPr="00980449">
        <w:rPr>
          <w:sz w:val="24"/>
          <w:szCs w:val="24"/>
          <w:lang w:val="ky-KG"/>
        </w:rPr>
        <w:t>2 117,6</w:t>
      </w:r>
      <w:r w:rsidR="00043F56" w:rsidRPr="00980449">
        <w:rPr>
          <w:sz w:val="24"/>
          <w:szCs w:val="24"/>
          <w:lang w:val="ky-KG"/>
        </w:rPr>
        <w:t xml:space="preserve"> млн.)</w:t>
      </w:r>
      <w:r w:rsidR="00D94AAD" w:rsidRPr="00980449">
        <w:rPr>
          <w:sz w:val="24"/>
          <w:szCs w:val="24"/>
          <w:lang w:val="ky-KG"/>
        </w:rPr>
        <w:t xml:space="preserve">, тамак-аш азыктарын, </w:t>
      </w:r>
      <w:r w:rsidR="00B029FF" w:rsidRPr="00980449">
        <w:rPr>
          <w:sz w:val="24"/>
          <w:szCs w:val="24"/>
          <w:lang w:val="ky-KG"/>
        </w:rPr>
        <w:t xml:space="preserve">анын ичинде </w:t>
      </w:r>
      <w:r w:rsidR="00D94AAD" w:rsidRPr="00980449">
        <w:rPr>
          <w:sz w:val="24"/>
          <w:szCs w:val="24"/>
          <w:lang w:val="ky-KG"/>
        </w:rPr>
        <w:t xml:space="preserve">суусундуктарды өндүрүү </w:t>
      </w:r>
      <w:r w:rsidR="009D1A38" w:rsidRPr="00980449">
        <w:rPr>
          <w:sz w:val="24"/>
          <w:szCs w:val="24"/>
          <w:lang w:val="ky-KG"/>
        </w:rPr>
        <w:t xml:space="preserve">ишканаларынын </w:t>
      </w:r>
      <w:r w:rsidR="00D94AAD" w:rsidRPr="00980449">
        <w:rPr>
          <w:sz w:val="24"/>
          <w:szCs w:val="24"/>
          <w:lang w:val="ky-KG"/>
        </w:rPr>
        <w:t>(</w:t>
      </w:r>
      <w:r w:rsidR="009D1A38" w:rsidRPr="00980449">
        <w:rPr>
          <w:sz w:val="24"/>
          <w:szCs w:val="24"/>
          <w:lang w:val="ky-KG"/>
        </w:rPr>
        <w:t>1 303,5</w:t>
      </w:r>
      <w:r w:rsidR="00D94AAD" w:rsidRPr="00980449">
        <w:rPr>
          <w:sz w:val="24"/>
          <w:szCs w:val="24"/>
          <w:lang w:val="ky-KG"/>
        </w:rPr>
        <w:t xml:space="preserve"> млн. сомго)</w:t>
      </w:r>
      <w:r w:rsidR="00EA19AB" w:rsidRPr="00980449">
        <w:rPr>
          <w:sz w:val="24"/>
          <w:szCs w:val="24"/>
          <w:lang w:val="ky-KG"/>
        </w:rPr>
        <w:t xml:space="preserve"> карыздары олуттуу ө</w:t>
      </w:r>
      <w:r w:rsidR="00B029FF" w:rsidRPr="00980449">
        <w:rPr>
          <w:sz w:val="24"/>
          <w:szCs w:val="24"/>
          <w:lang w:val="ky-KG"/>
        </w:rPr>
        <w:t>ст</w:t>
      </w:r>
      <w:r w:rsidR="00EA19AB" w:rsidRPr="00980449">
        <w:rPr>
          <w:sz w:val="24"/>
          <w:szCs w:val="24"/>
          <w:lang w:val="ky-KG"/>
        </w:rPr>
        <w:t>ү.</w:t>
      </w:r>
      <w:r w:rsidR="00043F56" w:rsidRPr="00980449">
        <w:rPr>
          <w:sz w:val="24"/>
          <w:szCs w:val="24"/>
          <w:lang w:val="ky-KG"/>
        </w:rPr>
        <w:t xml:space="preserve"> </w:t>
      </w:r>
      <w:r w:rsidR="00713675" w:rsidRPr="00980449">
        <w:rPr>
          <w:sz w:val="24"/>
          <w:szCs w:val="24"/>
          <w:lang w:val="ky-KG"/>
        </w:rPr>
        <w:t>Муну менен бирге</w:t>
      </w:r>
      <w:r w:rsidR="00AA251A" w:rsidRPr="00980449">
        <w:rPr>
          <w:sz w:val="24"/>
          <w:szCs w:val="24"/>
          <w:lang w:val="ky-KG"/>
        </w:rPr>
        <w:t>,</w:t>
      </w:r>
      <w:r w:rsidR="00713675" w:rsidRPr="00980449">
        <w:rPr>
          <w:sz w:val="24"/>
          <w:szCs w:val="24"/>
          <w:lang w:val="ky-KG"/>
        </w:rPr>
        <w:t xml:space="preserve"> ушул эле мезгил</w:t>
      </w:r>
      <w:r w:rsidR="00AA251A" w:rsidRPr="00980449">
        <w:rPr>
          <w:sz w:val="24"/>
          <w:szCs w:val="24"/>
          <w:lang w:val="ky-KG"/>
        </w:rPr>
        <w:t xml:space="preserve"> ичин</w:t>
      </w:r>
      <w:r w:rsidR="00713675" w:rsidRPr="00980449">
        <w:rPr>
          <w:sz w:val="24"/>
          <w:szCs w:val="24"/>
          <w:lang w:val="ky-KG"/>
        </w:rPr>
        <w:t xml:space="preserve">де </w:t>
      </w:r>
      <w:r w:rsidR="009D1A38" w:rsidRPr="00980449">
        <w:rPr>
          <w:sz w:val="24"/>
          <w:szCs w:val="24"/>
          <w:lang w:val="ky-KG"/>
        </w:rPr>
        <w:t>транспорт ишмердиги жана жүктөрдү сактоо уюмда</w:t>
      </w:r>
      <w:r w:rsidR="00B129C2" w:rsidRPr="00980449">
        <w:rPr>
          <w:sz w:val="24"/>
          <w:szCs w:val="24"/>
          <w:lang w:val="ky-KG"/>
        </w:rPr>
        <w:t>рында</w:t>
      </w:r>
      <w:r w:rsidR="009D1A38" w:rsidRPr="00980449">
        <w:rPr>
          <w:sz w:val="24"/>
          <w:szCs w:val="24"/>
          <w:lang w:val="ky-KG"/>
        </w:rPr>
        <w:t xml:space="preserve"> -</w:t>
      </w:r>
      <w:r w:rsidR="00713675" w:rsidRPr="00980449">
        <w:rPr>
          <w:sz w:val="24"/>
          <w:szCs w:val="24"/>
          <w:lang w:val="ky-KG"/>
        </w:rPr>
        <w:t xml:space="preserve"> </w:t>
      </w:r>
      <w:r w:rsidR="009D1A38" w:rsidRPr="00980449">
        <w:rPr>
          <w:sz w:val="24"/>
          <w:szCs w:val="24"/>
          <w:lang w:val="ky-KG"/>
        </w:rPr>
        <w:t>5 427,5</w:t>
      </w:r>
      <w:r w:rsidR="00713675" w:rsidRPr="00980449">
        <w:rPr>
          <w:sz w:val="24"/>
          <w:szCs w:val="24"/>
          <w:lang w:val="ky-KG"/>
        </w:rPr>
        <w:t xml:space="preserve"> млн. сомго, </w:t>
      </w:r>
      <w:r w:rsidR="009D1A38" w:rsidRPr="00980449">
        <w:rPr>
          <w:sz w:val="24"/>
          <w:szCs w:val="24"/>
          <w:lang w:val="ky-KG"/>
        </w:rPr>
        <w:t>пайдалуу кендерди казуу</w:t>
      </w:r>
      <w:r w:rsidR="00713675" w:rsidRPr="00980449">
        <w:rPr>
          <w:sz w:val="24"/>
          <w:szCs w:val="24"/>
          <w:lang w:val="ky-KG"/>
        </w:rPr>
        <w:t xml:space="preserve"> </w:t>
      </w:r>
      <w:r w:rsidR="009D1A38" w:rsidRPr="00980449">
        <w:rPr>
          <w:sz w:val="24"/>
          <w:szCs w:val="24"/>
          <w:lang w:val="ky-KG"/>
        </w:rPr>
        <w:t>-</w:t>
      </w:r>
      <w:r w:rsidR="00713675" w:rsidRPr="00980449">
        <w:rPr>
          <w:sz w:val="24"/>
          <w:szCs w:val="24"/>
          <w:lang w:val="ky-KG"/>
        </w:rPr>
        <w:t xml:space="preserve"> </w:t>
      </w:r>
      <w:r w:rsidR="009D1A38" w:rsidRPr="00980449">
        <w:rPr>
          <w:sz w:val="24"/>
          <w:szCs w:val="24"/>
          <w:lang w:val="ky-KG"/>
        </w:rPr>
        <w:t>604,2</w:t>
      </w:r>
      <w:r w:rsidR="00713675" w:rsidRPr="00980449">
        <w:rPr>
          <w:sz w:val="24"/>
          <w:szCs w:val="24"/>
          <w:lang w:val="ky-KG"/>
        </w:rPr>
        <w:t xml:space="preserve"> млн., </w:t>
      </w:r>
      <w:r w:rsidR="00B129C2" w:rsidRPr="00980449">
        <w:rPr>
          <w:sz w:val="24"/>
          <w:szCs w:val="24"/>
          <w:lang w:val="ky-KG"/>
        </w:rPr>
        <w:t>суу менен жабдуу, тазалоо, калдыктарды иштетүү ишканаларынын</w:t>
      </w:r>
      <w:r w:rsidR="00713675" w:rsidRPr="00980449">
        <w:rPr>
          <w:sz w:val="24"/>
          <w:szCs w:val="24"/>
          <w:lang w:val="ky-KG"/>
        </w:rPr>
        <w:t xml:space="preserve"> </w:t>
      </w:r>
      <w:r w:rsidR="00FF3C01" w:rsidRPr="00980449">
        <w:rPr>
          <w:sz w:val="24"/>
          <w:szCs w:val="24"/>
          <w:lang w:val="ky-KG"/>
        </w:rPr>
        <w:t>-</w:t>
      </w:r>
      <w:r w:rsidRPr="00980449">
        <w:rPr>
          <w:sz w:val="24"/>
          <w:szCs w:val="24"/>
          <w:lang w:val="ky-KG"/>
        </w:rPr>
        <w:t xml:space="preserve"> </w:t>
      </w:r>
      <w:r w:rsidR="00713675" w:rsidRPr="00980449">
        <w:rPr>
          <w:sz w:val="24"/>
          <w:szCs w:val="24"/>
          <w:lang w:val="ky-KG"/>
        </w:rPr>
        <w:t>12</w:t>
      </w:r>
      <w:r w:rsidR="009D1A38" w:rsidRPr="00980449">
        <w:rPr>
          <w:sz w:val="24"/>
          <w:szCs w:val="24"/>
          <w:lang w:val="ky-KG"/>
        </w:rPr>
        <w:t>9,0</w:t>
      </w:r>
      <w:r w:rsidR="00713675" w:rsidRPr="00980449">
        <w:rPr>
          <w:sz w:val="24"/>
          <w:szCs w:val="24"/>
          <w:lang w:val="ky-KG"/>
        </w:rPr>
        <w:t xml:space="preserve"> млн. сомго карыздары</w:t>
      </w:r>
      <w:r w:rsidR="009A7F90" w:rsidRPr="00980449">
        <w:rPr>
          <w:sz w:val="24"/>
          <w:szCs w:val="24"/>
          <w:lang w:val="ky-KG"/>
        </w:rPr>
        <w:t xml:space="preserve"> кыскарды</w:t>
      </w:r>
      <w:r w:rsidRPr="00980449">
        <w:rPr>
          <w:sz w:val="24"/>
          <w:szCs w:val="24"/>
          <w:lang w:val="ky-KG"/>
        </w:rPr>
        <w:t>.</w:t>
      </w:r>
    </w:p>
    <w:p w:rsidR="009A7F90" w:rsidRPr="00980449" w:rsidRDefault="009A7F90" w:rsidP="00D66C4A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201</w:t>
      </w:r>
      <w:r w:rsidR="00B1327C" w:rsidRPr="00980449">
        <w:rPr>
          <w:sz w:val="24"/>
          <w:szCs w:val="24"/>
          <w:lang w:val="ky-KG"/>
        </w:rPr>
        <w:t>6</w:t>
      </w:r>
      <w:r w:rsidRPr="00980449">
        <w:rPr>
          <w:sz w:val="24"/>
          <w:szCs w:val="24"/>
          <w:lang w:val="ky-KG"/>
        </w:rPr>
        <w:t xml:space="preserve">-жылга салыштырмалуу кредитордук карыздын көлөмү </w:t>
      </w:r>
      <w:r w:rsidR="00B1327C" w:rsidRPr="00980449">
        <w:rPr>
          <w:sz w:val="24"/>
          <w:szCs w:val="24"/>
          <w:lang w:val="ky-KG"/>
        </w:rPr>
        <w:t>42,3 пайызга</w:t>
      </w:r>
      <w:r w:rsidRPr="00980449">
        <w:rPr>
          <w:sz w:val="24"/>
          <w:szCs w:val="24"/>
          <w:lang w:val="ky-KG"/>
        </w:rPr>
        <w:t xml:space="preserve"> же </w:t>
      </w:r>
      <w:r w:rsidR="00B1327C" w:rsidRPr="00980449">
        <w:rPr>
          <w:sz w:val="24"/>
          <w:szCs w:val="24"/>
          <w:lang w:val="ky-KG"/>
        </w:rPr>
        <w:t>78 818,5</w:t>
      </w:r>
      <w:r w:rsidRPr="00980449">
        <w:rPr>
          <w:sz w:val="24"/>
          <w:szCs w:val="24"/>
          <w:lang w:val="ky-KG"/>
        </w:rPr>
        <w:t xml:space="preserve"> млн. сомго </w:t>
      </w:r>
      <w:r w:rsidRPr="00980449">
        <w:rPr>
          <w:color w:val="000000"/>
          <w:sz w:val="24"/>
          <w:szCs w:val="24"/>
          <w:lang w:val="ky-KG"/>
        </w:rPr>
        <w:t>к</w:t>
      </w:r>
      <w:r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б</w:t>
      </w:r>
      <w:r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йд</w:t>
      </w:r>
      <w:r w:rsidRPr="00980449">
        <w:rPr>
          <w:sz w:val="24"/>
          <w:szCs w:val="24"/>
          <w:lang w:val="ky-KG"/>
        </w:rPr>
        <w:t>ү. Муну менен бирге</w:t>
      </w:r>
      <w:r w:rsidR="00AA251A" w:rsidRPr="00980449">
        <w:rPr>
          <w:sz w:val="24"/>
          <w:szCs w:val="24"/>
          <w:lang w:val="ky-KG"/>
        </w:rPr>
        <w:t>,</w:t>
      </w:r>
      <w:r w:rsidRPr="00980449">
        <w:rPr>
          <w:sz w:val="24"/>
          <w:szCs w:val="24"/>
          <w:lang w:val="ky-KG"/>
        </w:rPr>
        <w:t xml:space="preserve"> карыздардын ө</w:t>
      </w:r>
      <w:r w:rsidRPr="00980449">
        <w:rPr>
          <w:color w:val="000000"/>
          <w:sz w:val="24"/>
          <w:szCs w:val="24"/>
          <w:lang w:val="ky-KG"/>
        </w:rPr>
        <w:t>с</w:t>
      </w:r>
      <w:r w:rsidRPr="00980449">
        <w:rPr>
          <w:sz w:val="24"/>
          <w:szCs w:val="24"/>
          <w:lang w:val="ky-KG"/>
        </w:rPr>
        <w:t>үү</w:t>
      </w:r>
      <w:r w:rsidRPr="00980449">
        <w:rPr>
          <w:color w:val="000000"/>
          <w:sz w:val="24"/>
          <w:szCs w:val="24"/>
          <w:lang w:val="ky-KG"/>
        </w:rPr>
        <w:t>с</w:t>
      </w:r>
      <w:r w:rsidRPr="00980449">
        <w:rPr>
          <w:sz w:val="24"/>
          <w:szCs w:val="24"/>
          <w:lang w:val="ky-KG"/>
        </w:rPr>
        <w:t>ү</w:t>
      </w:r>
      <w:r w:rsidRPr="00980449">
        <w:rPr>
          <w:color w:val="000000"/>
          <w:sz w:val="24"/>
          <w:szCs w:val="24"/>
          <w:lang w:val="ky-KG"/>
        </w:rPr>
        <w:t>н</w:t>
      </w:r>
      <w:r w:rsidRPr="00980449">
        <w:rPr>
          <w:sz w:val="24"/>
          <w:szCs w:val="24"/>
          <w:lang w:val="ky-KG"/>
        </w:rPr>
        <w:t>ү</w:t>
      </w:r>
      <w:r w:rsidRPr="00980449">
        <w:rPr>
          <w:color w:val="000000"/>
          <w:sz w:val="24"/>
          <w:szCs w:val="24"/>
          <w:lang w:val="ky-KG"/>
        </w:rPr>
        <w:t xml:space="preserve">н негизги суммасы </w:t>
      </w:r>
      <w:r w:rsidRPr="00980449">
        <w:rPr>
          <w:sz w:val="24"/>
          <w:szCs w:val="24"/>
          <w:lang w:val="ky-KG"/>
        </w:rPr>
        <w:t>курулуш (</w:t>
      </w:r>
      <w:r w:rsidR="00B1327C" w:rsidRPr="00980449">
        <w:rPr>
          <w:sz w:val="24"/>
          <w:szCs w:val="24"/>
          <w:lang w:val="ky-KG"/>
        </w:rPr>
        <w:t>33 758,2</w:t>
      </w:r>
      <w:r w:rsidRPr="00980449">
        <w:rPr>
          <w:sz w:val="24"/>
          <w:szCs w:val="24"/>
          <w:lang w:val="ky-KG"/>
        </w:rPr>
        <w:t xml:space="preserve"> млн. </w:t>
      </w:r>
      <w:r w:rsidR="00753015">
        <w:rPr>
          <w:sz w:val="24"/>
          <w:szCs w:val="24"/>
          <w:lang w:val="ky-KG"/>
        </w:rPr>
        <w:t>сом</w:t>
      </w:r>
      <w:r w:rsidRPr="00980449">
        <w:rPr>
          <w:sz w:val="24"/>
          <w:szCs w:val="24"/>
          <w:lang w:val="ky-KG"/>
        </w:rPr>
        <w:t>) жана дү</w:t>
      </w:r>
      <w:r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 xml:space="preserve"> жана чекене соода, автоунааларды жана мотоциклдерди о</w:t>
      </w:r>
      <w:r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>доо уюмдарына (2</w:t>
      </w:r>
      <w:r w:rsidR="00B1327C" w:rsidRPr="00980449">
        <w:rPr>
          <w:sz w:val="24"/>
          <w:szCs w:val="24"/>
          <w:lang w:val="ky-KG"/>
        </w:rPr>
        <w:t>5 588,8</w:t>
      </w:r>
      <w:r w:rsidRPr="00980449">
        <w:rPr>
          <w:sz w:val="24"/>
          <w:szCs w:val="24"/>
          <w:lang w:val="ky-KG"/>
        </w:rPr>
        <w:t xml:space="preserve"> млн. сом) туура келген, акыркы беш жылдын ичинде алардын карыздары </w:t>
      </w:r>
      <w:r w:rsidR="00AA251A" w:rsidRPr="00980449">
        <w:rPr>
          <w:color w:val="000000"/>
          <w:sz w:val="24"/>
          <w:szCs w:val="24"/>
          <w:lang w:val="ky-KG"/>
        </w:rPr>
        <w:t>туруктуу көбөй</w:t>
      </w:r>
      <w:r w:rsidR="004C6DCE" w:rsidRPr="00980449">
        <w:rPr>
          <w:color w:val="000000"/>
          <w:sz w:val="24"/>
          <w:szCs w:val="24"/>
          <w:lang w:val="ky-KG"/>
        </w:rPr>
        <w:t>гөн</w:t>
      </w:r>
      <w:r w:rsidR="00D66C4A" w:rsidRPr="00980449">
        <w:rPr>
          <w:sz w:val="24"/>
          <w:szCs w:val="24"/>
          <w:lang w:val="ky-KG"/>
        </w:rPr>
        <w:t>.</w:t>
      </w:r>
    </w:p>
    <w:p w:rsidR="00A62179" w:rsidRPr="00980449" w:rsidRDefault="009824B8" w:rsidP="00FF3C01">
      <w:pPr>
        <w:spacing w:before="40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2-</w:t>
      </w:r>
      <w:r w:rsidR="00CC78B3">
        <w:rPr>
          <w:b/>
          <w:sz w:val="24"/>
          <w:szCs w:val="24"/>
          <w:lang w:val="ky-KG"/>
        </w:rPr>
        <w:t>г</w:t>
      </w:r>
      <w:r>
        <w:rPr>
          <w:b/>
          <w:sz w:val="24"/>
          <w:szCs w:val="24"/>
          <w:lang w:val="ky-KG"/>
        </w:rPr>
        <w:t xml:space="preserve">рафик: </w:t>
      </w:r>
      <w:r w:rsidR="00A62179" w:rsidRPr="00980449">
        <w:rPr>
          <w:b/>
          <w:sz w:val="24"/>
          <w:szCs w:val="24"/>
          <w:lang w:val="ky-KG"/>
        </w:rPr>
        <w:t>Ишканалардын кредитордук карызы</w:t>
      </w:r>
    </w:p>
    <w:p w:rsidR="00EA19AB" w:rsidRPr="00980449" w:rsidRDefault="00EA19AB" w:rsidP="009824B8">
      <w:pPr>
        <w:ind w:firstLine="1304"/>
        <w:jc w:val="both"/>
        <w:rPr>
          <w:i/>
          <w:lang w:val="ky-KG"/>
        </w:rPr>
      </w:pPr>
      <w:r w:rsidRPr="00980449">
        <w:rPr>
          <w:i/>
          <w:lang w:val="ky-KG"/>
        </w:rPr>
        <w:t>(млн. сом)</w:t>
      </w:r>
    </w:p>
    <w:p w:rsidR="00A62179" w:rsidRPr="00980449" w:rsidRDefault="00EE2646" w:rsidP="00EE2646">
      <w:pPr>
        <w:spacing w:before="120"/>
        <w:jc w:val="center"/>
        <w:rPr>
          <w:sz w:val="22"/>
          <w:szCs w:val="22"/>
          <w:lang w:val="ky-KG"/>
        </w:rPr>
      </w:pPr>
      <w:r w:rsidRPr="00980449">
        <w:rPr>
          <w:noProof/>
        </w:rPr>
        <w:drawing>
          <wp:inline distT="0" distB="0" distL="0" distR="0" wp14:anchorId="2D3D1399" wp14:editId="3AB120E8">
            <wp:extent cx="6086476" cy="2947988"/>
            <wp:effectExtent l="0" t="0" r="952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179" w:rsidRPr="00980449" w:rsidRDefault="00A62179" w:rsidP="00D66C4A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20</w:t>
      </w:r>
      <w:r w:rsidR="00DD0D48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>-жылдын аягына карата абалы боюнча кредитордук карыздын т</w:t>
      </w:r>
      <w:r w:rsidR="007E26FA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з</w:t>
      </w:r>
      <w:r w:rsidR="007E26FA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м</w:t>
      </w:r>
      <w:r w:rsidR="007E26FA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нд</w:t>
      </w:r>
      <w:r w:rsidR="007E26FA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г</w:t>
      </w:r>
      <w:r w:rsidR="007E26FA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 карыздардын э</w:t>
      </w:r>
      <w:r w:rsidR="007E26FA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 xml:space="preserve"> чо</w:t>
      </w:r>
      <w:r w:rsidR="007E26FA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sz w:val="24"/>
          <w:szCs w:val="24"/>
          <w:lang w:val="ky-KG"/>
        </w:rPr>
        <w:t xml:space="preserve"> суммасы </w:t>
      </w:r>
      <w:r w:rsidR="007E26FA" w:rsidRPr="00980449">
        <w:rPr>
          <w:sz w:val="24"/>
          <w:szCs w:val="24"/>
          <w:lang w:val="ky-KG"/>
        </w:rPr>
        <w:t>курулуш</w:t>
      </w:r>
      <w:r w:rsidR="000E6982" w:rsidRPr="00980449">
        <w:rPr>
          <w:sz w:val="24"/>
          <w:szCs w:val="24"/>
          <w:lang w:val="ky-KG"/>
        </w:rPr>
        <w:t xml:space="preserve"> </w:t>
      </w:r>
      <w:r w:rsidR="007E26FA" w:rsidRPr="00980449">
        <w:rPr>
          <w:sz w:val="24"/>
          <w:szCs w:val="24"/>
          <w:lang w:val="ky-KG"/>
        </w:rPr>
        <w:t>уюмдары</w:t>
      </w:r>
      <w:r w:rsidR="00AA251A" w:rsidRPr="00980449">
        <w:rPr>
          <w:sz w:val="24"/>
          <w:szCs w:val="24"/>
          <w:lang w:val="ky-KG"/>
        </w:rPr>
        <w:t xml:space="preserve"> жана ишканалары</w:t>
      </w:r>
      <w:r w:rsidR="007E26FA" w:rsidRPr="00980449">
        <w:rPr>
          <w:sz w:val="24"/>
          <w:szCs w:val="24"/>
          <w:lang w:val="ky-KG"/>
        </w:rPr>
        <w:t xml:space="preserve"> </w:t>
      </w:r>
      <w:r w:rsidRPr="00980449">
        <w:rPr>
          <w:sz w:val="24"/>
          <w:szCs w:val="24"/>
          <w:lang w:val="ky-KG"/>
        </w:rPr>
        <w:t>(</w:t>
      </w:r>
      <w:r w:rsidR="00DD0D48" w:rsidRPr="00980449">
        <w:rPr>
          <w:sz w:val="24"/>
          <w:szCs w:val="24"/>
          <w:lang w:val="ky-KG"/>
        </w:rPr>
        <w:t>25,9</w:t>
      </w:r>
      <w:r w:rsidRPr="00980449">
        <w:rPr>
          <w:sz w:val="24"/>
          <w:szCs w:val="24"/>
          <w:lang w:val="ky-KG"/>
        </w:rPr>
        <w:t xml:space="preserve"> пайыз), </w:t>
      </w:r>
      <w:r w:rsidR="007E26FA" w:rsidRPr="00980449">
        <w:rPr>
          <w:sz w:val="24"/>
          <w:szCs w:val="24"/>
          <w:lang w:val="ky-KG"/>
        </w:rPr>
        <w:t>дү</w:t>
      </w:r>
      <w:r w:rsidR="007E26FA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7E26FA" w:rsidRPr="00980449">
        <w:rPr>
          <w:sz w:val="24"/>
          <w:szCs w:val="24"/>
          <w:lang w:val="ky-KG"/>
        </w:rPr>
        <w:t xml:space="preserve"> жана чекене соода, автоунааларды жана мотоциклдерди о</w:t>
      </w:r>
      <w:r w:rsidR="007E26FA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7E26FA" w:rsidRPr="00980449">
        <w:rPr>
          <w:sz w:val="24"/>
          <w:szCs w:val="24"/>
          <w:lang w:val="ky-KG"/>
        </w:rPr>
        <w:t xml:space="preserve">доо </w:t>
      </w:r>
      <w:r w:rsidRPr="00980449">
        <w:rPr>
          <w:sz w:val="24"/>
          <w:szCs w:val="24"/>
          <w:lang w:val="ky-KG"/>
        </w:rPr>
        <w:t>(</w:t>
      </w:r>
      <w:r w:rsidR="00DD0D48" w:rsidRPr="00980449">
        <w:rPr>
          <w:sz w:val="24"/>
          <w:szCs w:val="24"/>
          <w:lang w:val="ky-KG"/>
        </w:rPr>
        <w:t>24,8</w:t>
      </w:r>
      <w:r w:rsidRPr="00980449">
        <w:rPr>
          <w:sz w:val="24"/>
          <w:szCs w:val="24"/>
          <w:lang w:val="ky-KG"/>
        </w:rPr>
        <w:t xml:space="preserve"> пайыз), иштет</w:t>
      </w:r>
      <w:r w:rsidR="007E26FA" w:rsidRPr="00980449">
        <w:rPr>
          <w:sz w:val="24"/>
          <w:szCs w:val="24"/>
          <w:lang w:val="ky-KG"/>
        </w:rPr>
        <w:t>үү</w:t>
      </w:r>
      <w:r w:rsidRPr="00980449">
        <w:rPr>
          <w:sz w:val="24"/>
          <w:szCs w:val="24"/>
          <w:lang w:val="ky-KG"/>
        </w:rPr>
        <w:t xml:space="preserve"> </w:t>
      </w:r>
      <w:r w:rsidR="007E26FA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н</w:t>
      </w:r>
      <w:r w:rsidR="007E26FA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р жай</w:t>
      </w:r>
      <w:r w:rsidR="007F1256" w:rsidRPr="00980449">
        <w:rPr>
          <w:sz w:val="24"/>
          <w:szCs w:val="24"/>
          <w:lang w:val="ky-KG"/>
        </w:rPr>
        <w:t>ы</w:t>
      </w:r>
      <w:r w:rsidRPr="00980449">
        <w:rPr>
          <w:sz w:val="24"/>
          <w:szCs w:val="24"/>
          <w:lang w:val="ky-KG"/>
        </w:rPr>
        <w:t xml:space="preserve"> (</w:t>
      </w:r>
      <w:r w:rsidR="00DD0D48" w:rsidRPr="00980449">
        <w:rPr>
          <w:sz w:val="24"/>
          <w:szCs w:val="24"/>
          <w:lang w:val="ky-KG"/>
        </w:rPr>
        <w:t>18,9</w:t>
      </w:r>
      <w:r w:rsidRPr="00980449">
        <w:rPr>
          <w:sz w:val="24"/>
          <w:szCs w:val="24"/>
          <w:lang w:val="ky-KG"/>
        </w:rPr>
        <w:t xml:space="preserve"> пайыз) жана пайдалуу кендерди казуу ишканалары (</w:t>
      </w:r>
      <w:r w:rsidR="00DD0D48" w:rsidRPr="00980449">
        <w:rPr>
          <w:sz w:val="24"/>
          <w:szCs w:val="24"/>
          <w:lang w:val="ky-KG"/>
        </w:rPr>
        <w:t>8,6</w:t>
      </w:r>
      <w:r w:rsidR="007E26FA" w:rsidRPr="00980449">
        <w:rPr>
          <w:sz w:val="24"/>
          <w:szCs w:val="24"/>
          <w:lang w:val="ky-KG"/>
        </w:rPr>
        <w:t xml:space="preserve"> пайыз</w:t>
      </w:r>
      <w:r w:rsidRPr="00980449">
        <w:rPr>
          <w:sz w:val="24"/>
          <w:szCs w:val="24"/>
          <w:lang w:val="ky-KG"/>
        </w:rPr>
        <w:t xml:space="preserve">) </w:t>
      </w:r>
      <w:r w:rsidR="00AA251A" w:rsidRPr="00980449">
        <w:rPr>
          <w:sz w:val="24"/>
          <w:szCs w:val="24"/>
          <w:lang w:val="ky-KG"/>
        </w:rPr>
        <w:t>тарабынан</w:t>
      </w:r>
      <w:r w:rsidRPr="00980449">
        <w:rPr>
          <w:sz w:val="24"/>
          <w:szCs w:val="24"/>
          <w:lang w:val="ky-KG"/>
        </w:rPr>
        <w:t xml:space="preserve"> т</w:t>
      </w:r>
      <w:r w:rsidR="007E26FA" w:rsidRPr="00980449">
        <w:rPr>
          <w:sz w:val="24"/>
          <w:szCs w:val="24"/>
          <w:lang w:val="ky-KG"/>
        </w:rPr>
        <w:t>үзүлгө</w:t>
      </w:r>
      <w:r w:rsidRPr="00980449">
        <w:rPr>
          <w:sz w:val="24"/>
          <w:szCs w:val="24"/>
          <w:lang w:val="ky-KG"/>
        </w:rPr>
        <w:t xml:space="preserve">н. </w:t>
      </w:r>
    </w:p>
    <w:p w:rsidR="00A62179" w:rsidRPr="00980449" w:rsidRDefault="00A62179" w:rsidP="00D66C4A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color w:val="000000"/>
          <w:sz w:val="24"/>
          <w:szCs w:val="24"/>
          <w:lang w:val="ky-KG"/>
        </w:rPr>
        <w:t>Өтк</w:t>
      </w:r>
      <w:r w:rsidR="007E26FA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 xml:space="preserve">н </w:t>
      </w:r>
      <w:r w:rsidRPr="00980449">
        <w:rPr>
          <w:sz w:val="24"/>
          <w:szCs w:val="24"/>
          <w:lang w:val="ky-KG"/>
        </w:rPr>
        <w:t xml:space="preserve">жылы кредитордук карыздын жалпы </w:t>
      </w:r>
      <w:r w:rsidR="000E6982" w:rsidRPr="00980449">
        <w:rPr>
          <w:sz w:val="24"/>
          <w:szCs w:val="24"/>
          <w:lang w:val="ky-KG"/>
        </w:rPr>
        <w:t xml:space="preserve">көлөмүнүн </w:t>
      </w:r>
      <w:r w:rsidR="00490432" w:rsidRPr="00980449">
        <w:rPr>
          <w:sz w:val="24"/>
          <w:szCs w:val="24"/>
          <w:lang w:val="ky-KG"/>
        </w:rPr>
        <w:t xml:space="preserve">72,7 </w:t>
      </w:r>
      <w:r w:rsidRPr="00980449">
        <w:rPr>
          <w:sz w:val="24"/>
          <w:szCs w:val="24"/>
          <w:lang w:val="ky-KG"/>
        </w:rPr>
        <w:t xml:space="preserve">пайызы республиканын ички поставщиктеринин карыздарына туура келген. КМШ </w:t>
      </w:r>
      <w:r w:rsidR="000E6982" w:rsidRPr="00980449">
        <w:rPr>
          <w:sz w:val="24"/>
          <w:szCs w:val="24"/>
          <w:lang w:val="ky-KG"/>
        </w:rPr>
        <w:t>өлкөлөрү</w:t>
      </w:r>
      <w:r w:rsidR="00CC3E5F" w:rsidRPr="00980449">
        <w:rPr>
          <w:sz w:val="24"/>
          <w:szCs w:val="24"/>
          <w:lang w:val="ky-KG"/>
        </w:rPr>
        <w:t xml:space="preserve"> </w:t>
      </w:r>
      <w:r w:rsidRPr="00980449">
        <w:rPr>
          <w:sz w:val="24"/>
          <w:szCs w:val="24"/>
          <w:lang w:val="ky-KG"/>
        </w:rPr>
        <w:t xml:space="preserve">менен </w:t>
      </w:r>
      <w:r w:rsidR="000E698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з ара эсептеш</w:t>
      </w:r>
      <w:r w:rsidR="000E6982" w:rsidRPr="00980449">
        <w:rPr>
          <w:sz w:val="24"/>
          <w:szCs w:val="24"/>
          <w:lang w:val="ky-KG"/>
        </w:rPr>
        <w:t>үү</w:t>
      </w:r>
      <w:r w:rsidRPr="00980449">
        <w:rPr>
          <w:sz w:val="24"/>
          <w:szCs w:val="24"/>
          <w:lang w:val="ky-KG"/>
        </w:rPr>
        <w:t>л</w:t>
      </w:r>
      <w:r w:rsidR="000E698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р</w:t>
      </w:r>
      <w:r w:rsidR="000E698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н</w:t>
      </w:r>
      <w:r w:rsidR="000E698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н </w:t>
      </w:r>
      <w:r w:rsidR="000E6982" w:rsidRPr="00980449">
        <w:rPr>
          <w:sz w:val="24"/>
          <w:szCs w:val="24"/>
          <w:lang w:val="ky-KG"/>
        </w:rPr>
        <w:t>үлүшү 8,</w:t>
      </w:r>
      <w:r w:rsidR="00490432" w:rsidRPr="00980449">
        <w:rPr>
          <w:sz w:val="24"/>
          <w:szCs w:val="24"/>
          <w:lang w:val="ky-KG"/>
        </w:rPr>
        <w:t>4</w:t>
      </w:r>
      <w:r w:rsidRPr="00980449">
        <w:rPr>
          <w:sz w:val="24"/>
          <w:szCs w:val="24"/>
          <w:lang w:val="ky-KG"/>
        </w:rPr>
        <w:t xml:space="preserve"> пайызды, ал эми КМШдан тышкаркы </w:t>
      </w:r>
      <w:r w:rsidR="000E698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лк</w:t>
      </w:r>
      <w:r w:rsidR="000E698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л</w:t>
      </w:r>
      <w:r w:rsidR="000E6982" w:rsidRPr="00980449">
        <w:rPr>
          <w:sz w:val="24"/>
          <w:szCs w:val="24"/>
          <w:lang w:val="ky-KG"/>
        </w:rPr>
        <w:t>ө</w:t>
      </w:r>
      <w:r w:rsidRPr="00980449">
        <w:rPr>
          <w:sz w:val="24"/>
          <w:szCs w:val="24"/>
          <w:lang w:val="ky-KG"/>
        </w:rPr>
        <w:t>рд</w:t>
      </w:r>
      <w:r w:rsidR="000E698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н ишканаларынын алдындагы </w:t>
      </w:r>
      <w:r w:rsidR="000E698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л</w:t>
      </w:r>
      <w:r w:rsidR="000E698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ш</w:t>
      </w:r>
      <w:r w:rsidR="000E698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 xml:space="preserve"> </w:t>
      </w:r>
      <w:r w:rsidR="00490432" w:rsidRPr="00980449">
        <w:rPr>
          <w:sz w:val="24"/>
          <w:szCs w:val="24"/>
          <w:lang w:val="ky-KG"/>
        </w:rPr>
        <w:t>-</w:t>
      </w:r>
      <w:r w:rsidRPr="00980449">
        <w:rPr>
          <w:sz w:val="24"/>
          <w:szCs w:val="24"/>
          <w:lang w:val="ky-KG"/>
        </w:rPr>
        <w:t xml:space="preserve"> </w:t>
      </w:r>
      <w:r w:rsidR="00490432" w:rsidRPr="00980449">
        <w:rPr>
          <w:sz w:val="24"/>
          <w:szCs w:val="24"/>
          <w:lang w:val="ky-KG"/>
        </w:rPr>
        <w:t>18,9</w:t>
      </w:r>
      <w:r w:rsidRPr="00980449">
        <w:rPr>
          <w:sz w:val="24"/>
          <w:szCs w:val="24"/>
          <w:lang w:val="ky-KG"/>
        </w:rPr>
        <w:t xml:space="preserve"> пайызды т</w:t>
      </w:r>
      <w:r w:rsidR="000E6982" w:rsidRPr="00980449">
        <w:rPr>
          <w:sz w:val="24"/>
          <w:szCs w:val="24"/>
          <w:lang w:val="ky-KG"/>
        </w:rPr>
        <w:t>ү</w:t>
      </w:r>
      <w:r w:rsidRPr="00980449">
        <w:rPr>
          <w:sz w:val="24"/>
          <w:szCs w:val="24"/>
          <w:lang w:val="ky-KG"/>
        </w:rPr>
        <w:t>зг</w:t>
      </w:r>
      <w:r w:rsidR="000E6982" w:rsidRPr="00980449">
        <w:rPr>
          <w:sz w:val="24"/>
          <w:szCs w:val="24"/>
          <w:lang w:val="ky-KG"/>
        </w:rPr>
        <w:t>ө</w:t>
      </w:r>
      <w:r w:rsidR="00FF3C01" w:rsidRPr="00980449">
        <w:rPr>
          <w:sz w:val="24"/>
          <w:szCs w:val="24"/>
          <w:lang w:val="ky-KG"/>
        </w:rPr>
        <w:t>н.</w:t>
      </w:r>
    </w:p>
    <w:p w:rsidR="00A62179" w:rsidRPr="00980449" w:rsidRDefault="000E6982" w:rsidP="00A62179">
      <w:pPr>
        <w:pStyle w:val="ae"/>
        <w:ind w:firstLine="709"/>
        <w:rPr>
          <w:color w:val="000000"/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 xml:space="preserve">Мөөнөтү өткөн </w:t>
      </w:r>
      <w:r w:rsidR="00A62179" w:rsidRPr="00980449">
        <w:rPr>
          <w:sz w:val="24"/>
          <w:szCs w:val="24"/>
          <w:lang w:val="ky-KG"/>
        </w:rPr>
        <w:t xml:space="preserve">кредитордук карыздардын </w:t>
      </w:r>
      <w:r w:rsidRPr="00980449">
        <w:rPr>
          <w:sz w:val="24"/>
          <w:szCs w:val="24"/>
          <w:lang w:val="ky-KG"/>
        </w:rPr>
        <w:t xml:space="preserve">көлөмү </w:t>
      </w:r>
      <w:r w:rsidR="00A62179" w:rsidRPr="00980449">
        <w:rPr>
          <w:sz w:val="24"/>
          <w:szCs w:val="24"/>
          <w:lang w:val="ky-KG"/>
        </w:rPr>
        <w:t xml:space="preserve">бир жыл ичинде </w:t>
      </w:r>
      <w:r w:rsidR="00490432" w:rsidRPr="00980449">
        <w:rPr>
          <w:sz w:val="24"/>
          <w:szCs w:val="24"/>
          <w:lang w:val="ky-KG"/>
        </w:rPr>
        <w:t>17,5</w:t>
      </w:r>
      <w:r w:rsidR="00A62179" w:rsidRPr="00980449">
        <w:rPr>
          <w:sz w:val="24"/>
          <w:szCs w:val="24"/>
          <w:lang w:val="ky-KG"/>
        </w:rPr>
        <w:t xml:space="preserve"> пайызга </w:t>
      </w:r>
      <w:r w:rsidR="00490432" w:rsidRPr="00980449">
        <w:rPr>
          <w:color w:val="000000"/>
          <w:sz w:val="24"/>
          <w:szCs w:val="24"/>
          <w:shd w:val="clear" w:color="auto" w:fill="FFFFE1"/>
          <w:lang w:val="ky-KG"/>
        </w:rPr>
        <w:t>көбөйдү</w:t>
      </w:r>
      <w:r w:rsidR="00A62179" w:rsidRPr="00980449">
        <w:rPr>
          <w:sz w:val="24"/>
          <w:szCs w:val="24"/>
          <w:lang w:val="ky-KG"/>
        </w:rPr>
        <w:t xml:space="preserve"> жана 20</w:t>
      </w:r>
      <w:r w:rsidR="00490432" w:rsidRPr="00980449">
        <w:rPr>
          <w:sz w:val="24"/>
          <w:szCs w:val="24"/>
          <w:lang w:val="ky-KG"/>
        </w:rPr>
        <w:t>20</w:t>
      </w:r>
      <w:r w:rsidR="00A62179" w:rsidRPr="00980449">
        <w:rPr>
          <w:sz w:val="24"/>
          <w:szCs w:val="24"/>
          <w:lang w:val="ky-KG"/>
        </w:rPr>
        <w:t xml:space="preserve">-жылдын аягына карата </w:t>
      </w:r>
      <w:r w:rsidR="00490432" w:rsidRPr="00980449">
        <w:rPr>
          <w:sz w:val="24"/>
          <w:szCs w:val="24"/>
          <w:lang w:val="ky-KG"/>
        </w:rPr>
        <w:t>6 195,6</w:t>
      </w:r>
      <w:r w:rsidR="00A62179" w:rsidRPr="00980449">
        <w:rPr>
          <w:sz w:val="24"/>
          <w:szCs w:val="24"/>
          <w:lang w:val="ky-KG"/>
        </w:rPr>
        <w:t xml:space="preserve"> мл</w:t>
      </w:r>
      <w:r w:rsidR="00FF3C01" w:rsidRPr="00980449">
        <w:rPr>
          <w:sz w:val="24"/>
          <w:szCs w:val="24"/>
          <w:lang w:val="ky-KG"/>
        </w:rPr>
        <w:t>н. сомду (</w:t>
      </w:r>
      <w:r w:rsidR="00753015">
        <w:rPr>
          <w:sz w:val="24"/>
          <w:szCs w:val="24"/>
          <w:lang w:val="ky-KG"/>
        </w:rPr>
        <w:t xml:space="preserve">же </w:t>
      </w:r>
      <w:r w:rsidR="00FF3C01" w:rsidRPr="00980449">
        <w:rPr>
          <w:sz w:val="24"/>
          <w:szCs w:val="24"/>
          <w:lang w:val="ky-KG"/>
        </w:rPr>
        <w:t xml:space="preserve">кредитордук карыздын </w:t>
      </w:r>
      <w:r w:rsidR="00A62179" w:rsidRPr="00980449">
        <w:rPr>
          <w:sz w:val="24"/>
          <w:szCs w:val="24"/>
          <w:lang w:val="ky-KG"/>
        </w:rPr>
        <w:t xml:space="preserve">жалпы </w:t>
      </w:r>
      <w:r w:rsidR="007F1256" w:rsidRPr="00980449">
        <w:rPr>
          <w:sz w:val="24"/>
          <w:szCs w:val="24"/>
          <w:lang w:val="ky-KG"/>
        </w:rPr>
        <w:t xml:space="preserve">көлөмүнүн </w:t>
      </w:r>
      <w:r w:rsidR="00A62179" w:rsidRPr="00980449">
        <w:rPr>
          <w:sz w:val="24"/>
          <w:szCs w:val="24"/>
          <w:lang w:val="ky-KG"/>
        </w:rPr>
        <w:t>2,</w:t>
      </w:r>
      <w:r w:rsidR="00490432" w:rsidRPr="00980449">
        <w:rPr>
          <w:sz w:val="24"/>
          <w:szCs w:val="24"/>
          <w:lang w:val="ky-KG"/>
        </w:rPr>
        <w:t>3</w:t>
      </w:r>
      <w:r w:rsidR="00EA19AB" w:rsidRPr="00980449">
        <w:rPr>
          <w:sz w:val="24"/>
          <w:szCs w:val="24"/>
          <w:lang w:val="ky-KG"/>
        </w:rPr>
        <w:t xml:space="preserve"> пайызы</w:t>
      </w:r>
      <w:r w:rsidR="004C6DCE" w:rsidRPr="00980449">
        <w:rPr>
          <w:sz w:val="24"/>
          <w:szCs w:val="24"/>
          <w:lang w:val="ky-KG"/>
        </w:rPr>
        <w:t>н</w:t>
      </w:r>
      <w:r w:rsidR="00EA19AB" w:rsidRPr="00980449">
        <w:rPr>
          <w:sz w:val="24"/>
          <w:szCs w:val="24"/>
          <w:lang w:val="ky-KG"/>
        </w:rPr>
        <w:t>)</w:t>
      </w:r>
      <w:r w:rsidR="00A62179" w:rsidRPr="00980449">
        <w:rPr>
          <w:sz w:val="24"/>
          <w:szCs w:val="24"/>
          <w:lang w:val="ky-KG"/>
        </w:rPr>
        <w:t xml:space="preserve"> </w:t>
      </w:r>
      <w:r w:rsidR="007F1256" w:rsidRPr="00980449">
        <w:rPr>
          <w:sz w:val="24"/>
          <w:szCs w:val="24"/>
          <w:lang w:val="ky-KG"/>
        </w:rPr>
        <w:t>түздү</w:t>
      </w:r>
      <w:r w:rsidR="00A62179" w:rsidRPr="00980449">
        <w:rPr>
          <w:sz w:val="24"/>
          <w:szCs w:val="24"/>
          <w:lang w:val="ky-KG"/>
        </w:rPr>
        <w:t xml:space="preserve">. </w:t>
      </w:r>
      <w:r w:rsidR="007F1256" w:rsidRPr="00980449">
        <w:rPr>
          <w:sz w:val="24"/>
          <w:szCs w:val="24"/>
          <w:lang w:val="ky-KG"/>
        </w:rPr>
        <w:t>М</w:t>
      </w:r>
      <w:r w:rsidR="00CC3E5F" w:rsidRPr="00980449">
        <w:rPr>
          <w:sz w:val="24"/>
          <w:szCs w:val="24"/>
          <w:lang w:val="ky-KG"/>
        </w:rPr>
        <w:t>уну менен бирге,</w:t>
      </w:r>
      <w:r w:rsidR="007F1256" w:rsidRPr="00980449">
        <w:rPr>
          <w:sz w:val="24"/>
          <w:szCs w:val="24"/>
          <w:lang w:val="ky-KG"/>
        </w:rPr>
        <w:t xml:space="preserve"> мөөнөтү өткөн </w:t>
      </w:r>
      <w:r w:rsidR="00A62179" w:rsidRPr="00980449">
        <w:rPr>
          <w:color w:val="000000"/>
          <w:sz w:val="24"/>
          <w:szCs w:val="24"/>
          <w:lang w:val="ky-KG"/>
        </w:rPr>
        <w:t>карыздардын негизги суммалары</w:t>
      </w:r>
      <w:r w:rsidR="00CC3E5F" w:rsidRPr="00980449">
        <w:rPr>
          <w:color w:val="000000"/>
          <w:sz w:val="24"/>
          <w:szCs w:val="24"/>
          <w:lang w:val="ky-KG"/>
        </w:rPr>
        <w:t>н</w:t>
      </w:r>
      <w:r w:rsidR="00A62179" w:rsidRPr="00980449">
        <w:rPr>
          <w:color w:val="000000"/>
          <w:sz w:val="24"/>
          <w:szCs w:val="24"/>
          <w:lang w:val="ky-KG"/>
        </w:rPr>
        <w:t xml:space="preserve"> </w:t>
      </w:r>
      <w:r w:rsidR="007F1256" w:rsidRPr="00980449">
        <w:rPr>
          <w:sz w:val="24"/>
          <w:szCs w:val="24"/>
          <w:lang w:val="ky-KG"/>
        </w:rPr>
        <w:t>иштетүү өнөр жай</w:t>
      </w:r>
      <w:r w:rsidR="00A62179" w:rsidRPr="00980449">
        <w:rPr>
          <w:color w:val="000000"/>
          <w:sz w:val="24"/>
          <w:szCs w:val="24"/>
          <w:lang w:val="ky-KG"/>
        </w:rPr>
        <w:t>ы (</w:t>
      </w:r>
      <w:r w:rsidR="007F1256" w:rsidRPr="00980449">
        <w:rPr>
          <w:sz w:val="24"/>
          <w:szCs w:val="24"/>
          <w:lang w:val="ky-KG"/>
        </w:rPr>
        <w:t>2</w:t>
      </w:r>
      <w:r w:rsidR="00490432" w:rsidRPr="00980449">
        <w:rPr>
          <w:sz w:val="24"/>
          <w:szCs w:val="24"/>
          <w:lang w:val="ky-KG"/>
        </w:rPr>
        <w:t> 654,1</w:t>
      </w:r>
      <w:r w:rsidR="00A62179" w:rsidRPr="00980449">
        <w:rPr>
          <w:sz w:val="24"/>
          <w:szCs w:val="24"/>
          <w:lang w:val="ky-KG"/>
        </w:rPr>
        <w:t xml:space="preserve"> млн. сом) жана </w:t>
      </w:r>
      <w:r w:rsidR="00490432" w:rsidRPr="00980449">
        <w:rPr>
          <w:sz w:val="24"/>
          <w:szCs w:val="24"/>
          <w:lang w:val="ky-KG"/>
        </w:rPr>
        <w:t>курулуш</w:t>
      </w:r>
      <w:r w:rsidR="007F1256" w:rsidRPr="00980449">
        <w:rPr>
          <w:sz w:val="24"/>
          <w:szCs w:val="24"/>
          <w:lang w:val="ky-KG"/>
        </w:rPr>
        <w:t xml:space="preserve"> </w:t>
      </w:r>
      <w:r w:rsidR="00A62179" w:rsidRPr="00980449">
        <w:rPr>
          <w:sz w:val="24"/>
          <w:szCs w:val="24"/>
          <w:lang w:val="ky-KG"/>
        </w:rPr>
        <w:t>ишканалары (</w:t>
      </w:r>
      <w:r w:rsidR="00490432" w:rsidRPr="00980449">
        <w:rPr>
          <w:sz w:val="24"/>
          <w:szCs w:val="24"/>
          <w:lang w:val="ky-KG"/>
        </w:rPr>
        <w:t>768,0</w:t>
      </w:r>
      <w:r w:rsidR="00A62179" w:rsidRPr="00980449">
        <w:rPr>
          <w:sz w:val="24"/>
          <w:szCs w:val="24"/>
          <w:lang w:val="ky-KG"/>
        </w:rPr>
        <w:t xml:space="preserve"> млн. сом) </w:t>
      </w:r>
      <w:r w:rsidR="00A62179" w:rsidRPr="00980449">
        <w:rPr>
          <w:color w:val="000000"/>
          <w:sz w:val="24"/>
          <w:szCs w:val="24"/>
          <w:lang w:val="ky-KG"/>
        </w:rPr>
        <w:t>тарабынан жарал</w:t>
      </w:r>
      <w:r w:rsidR="00CC3E5F" w:rsidRPr="00980449">
        <w:rPr>
          <w:color w:val="000000"/>
          <w:sz w:val="24"/>
          <w:szCs w:val="24"/>
          <w:lang w:val="ky-KG"/>
        </w:rPr>
        <w:t>ган</w:t>
      </w:r>
      <w:r w:rsidR="00A62179" w:rsidRPr="00980449">
        <w:rPr>
          <w:color w:val="000000"/>
          <w:sz w:val="24"/>
          <w:szCs w:val="24"/>
          <w:lang w:val="ky-KG"/>
        </w:rPr>
        <w:t xml:space="preserve">. </w:t>
      </w:r>
    </w:p>
    <w:p w:rsidR="00A62179" w:rsidRPr="00980449" w:rsidRDefault="00A62179" w:rsidP="00A04330">
      <w:pPr>
        <w:pStyle w:val="ae"/>
        <w:ind w:firstLine="709"/>
        <w:rPr>
          <w:color w:val="000000"/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lastRenderedPageBreak/>
        <w:t>20</w:t>
      </w:r>
      <w:r w:rsidR="0006552E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 xml:space="preserve">-жылдын аягына карата </w:t>
      </w:r>
      <w:r w:rsidR="007F1256" w:rsidRPr="00980449">
        <w:rPr>
          <w:sz w:val="24"/>
          <w:szCs w:val="24"/>
          <w:lang w:val="ky-KG"/>
        </w:rPr>
        <w:t xml:space="preserve">абалы боюнча </w:t>
      </w:r>
      <w:r w:rsidR="00EA19AB" w:rsidRPr="00980449">
        <w:rPr>
          <w:sz w:val="24"/>
          <w:szCs w:val="24"/>
          <w:lang w:val="ky-KG"/>
        </w:rPr>
        <w:t>аймактык бөлү</w:t>
      </w:r>
      <w:r w:rsidR="00CC3E5F" w:rsidRPr="00980449">
        <w:rPr>
          <w:sz w:val="24"/>
          <w:szCs w:val="24"/>
          <w:lang w:val="ky-KG"/>
        </w:rPr>
        <w:t>н</w:t>
      </w:r>
      <w:r w:rsidR="00EA19AB" w:rsidRPr="00980449">
        <w:rPr>
          <w:sz w:val="24"/>
          <w:szCs w:val="24"/>
          <w:lang w:val="ky-KG"/>
        </w:rPr>
        <w:t>ү</w:t>
      </w:r>
      <w:r w:rsidR="00CC3E5F" w:rsidRPr="00980449">
        <w:rPr>
          <w:sz w:val="24"/>
          <w:szCs w:val="24"/>
          <w:lang w:val="ky-KG"/>
        </w:rPr>
        <w:t>шү</w:t>
      </w:r>
      <w:r w:rsidR="00EA19AB" w:rsidRPr="00980449">
        <w:rPr>
          <w:sz w:val="24"/>
          <w:szCs w:val="24"/>
          <w:lang w:val="ky-KG"/>
        </w:rPr>
        <w:t>ндө</w:t>
      </w:r>
      <w:r w:rsidR="007F1256" w:rsidRPr="00980449">
        <w:rPr>
          <w:sz w:val="24"/>
          <w:szCs w:val="24"/>
          <w:lang w:val="ky-KG"/>
        </w:rPr>
        <w:t xml:space="preserve"> </w:t>
      </w:r>
      <w:r w:rsidRPr="00980449">
        <w:rPr>
          <w:sz w:val="24"/>
          <w:szCs w:val="24"/>
          <w:lang w:val="ky-KG"/>
        </w:rPr>
        <w:t xml:space="preserve">дебитордук карыздардын </w:t>
      </w:r>
      <w:r w:rsidR="007F1256" w:rsidRPr="00980449">
        <w:rPr>
          <w:sz w:val="24"/>
          <w:szCs w:val="24"/>
          <w:lang w:val="ky-KG"/>
        </w:rPr>
        <w:t>62,</w:t>
      </w:r>
      <w:r w:rsidR="0006552E" w:rsidRPr="00980449">
        <w:rPr>
          <w:sz w:val="24"/>
          <w:szCs w:val="24"/>
          <w:lang w:val="ky-KG"/>
        </w:rPr>
        <w:t>3</w:t>
      </w:r>
      <w:r w:rsidRPr="00980449">
        <w:rPr>
          <w:sz w:val="24"/>
          <w:szCs w:val="24"/>
          <w:lang w:val="ky-KG"/>
        </w:rPr>
        <w:t xml:space="preserve"> пайызы </w:t>
      </w:r>
      <w:r w:rsidR="00CC3E5F" w:rsidRPr="00980449">
        <w:rPr>
          <w:sz w:val="24"/>
          <w:szCs w:val="24"/>
          <w:lang w:val="ky-KG"/>
        </w:rPr>
        <w:t xml:space="preserve">- </w:t>
      </w:r>
      <w:r w:rsidRPr="00980449">
        <w:rPr>
          <w:sz w:val="24"/>
          <w:szCs w:val="24"/>
          <w:lang w:val="ky-KG"/>
        </w:rPr>
        <w:t>Бишкек ш.,</w:t>
      </w:r>
      <w:r w:rsidR="00CC3E5F" w:rsidRPr="00980449">
        <w:rPr>
          <w:sz w:val="24"/>
          <w:szCs w:val="24"/>
          <w:lang w:val="ky-KG"/>
        </w:rPr>
        <w:t xml:space="preserve"> </w:t>
      </w:r>
      <w:r w:rsidR="007F1256" w:rsidRPr="00980449">
        <w:rPr>
          <w:sz w:val="24"/>
          <w:szCs w:val="24"/>
          <w:lang w:val="ky-KG"/>
        </w:rPr>
        <w:t>11,</w:t>
      </w:r>
      <w:r w:rsidR="0006552E" w:rsidRPr="00980449">
        <w:rPr>
          <w:sz w:val="24"/>
          <w:szCs w:val="24"/>
          <w:lang w:val="ky-KG"/>
        </w:rPr>
        <w:t>5</w:t>
      </w:r>
      <w:r w:rsidRPr="00980449">
        <w:rPr>
          <w:sz w:val="24"/>
          <w:szCs w:val="24"/>
          <w:lang w:val="ky-KG"/>
        </w:rPr>
        <w:t xml:space="preserve"> пайызы - Чүй облусунун ишканалары тарабынан т</w:t>
      </w:r>
      <w:r w:rsidR="007F1256" w:rsidRPr="00980449">
        <w:rPr>
          <w:sz w:val="24"/>
          <w:szCs w:val="24"/>
          <w:lang w:val="ky-KG"/>
        </w:rPr>
        <w:t>ү</w:t>
      </w:r>
      <w:r w:rsidRPr="00980449">
        <w:rPr>
          <w:bCs/>
          <w:sz w:val="24"/>
          <w:szCs w:val="24"/>
          <w:lang w:val="ky-KG"/>
        </w:rPr>
        <w:t>з</w:t>
      </w:r>
      <w:r w:rsidR="007F1256" w:rsidRPr="00980449">
        <w:rPr>
          <w:sz w:val="24"/>
          <w:szCs w:val="24"/>
          <w:lang w:val="ky-KG"/>
        </w:rPr>
        <w:t>ү</w:t>
      </w:r>
      <w:r w:rsidRPr="00980449">
        <w:rPr>
          <w:bCs/>
          <w:sz w:val="24"/>
          <w:szCs w:val="24"/>
          <w:lang w:val="ky-KG"/>
        </w:rPr>
        <w:t>лд</w:t>
      </w:r>
      <w:r w:rsidR="007F1256" w:rsidRPr="00980449">
        <w:rPr>
          <w:sz w:val="24"/>
          <w:szCs w:val="24"/>
          <w:lang w:val="ky-KG"/>
        </w:rPr>
        <w:t>ү</w:t>
      </w:r>
      <w:r w:rsidR="007F1256" w:rsidRPr="00980449">
        <w:rPr>
          <w:bCs/>
          <w:sz w:val="24"/>
          <w:szCs w:val="24"/>
          <w:lang w:val="ky-KG"/>
        </w:rPr>
        <w:t xml:space="preserve">. </w:t>
      </w:r>
      <w:r w:rsidRPr="00980449">
        <w:rPr>
          <w:bCs/>
          <w:sz w:val="24"/>
          <w:szCs w:val="24"/>
          <w:lang w:val="ky-KG"/>
        </w:rPr>
        <w:t>201</w:t>
      </w:r>
      <w:r w:rsidR="008A1F80" w:rsidRPr="00980449">
        <w:rPr>
          <w:bCs/>
          <w:sz w:val="24"/>
          <w:szCs w:val="24"/>
          <w:lang w:val="ky-KG"/>
        </w:rPr>
        <w:t>9</w:t>
      </w:r>
      <w:r w:rsidR="007F1256" w:rsidRPr="00980449">
        <w:rPr>
          <w:bCs/>
          <w:sz w:val="24"/>
          <w:szCs w:val="24"/>
          <w:lang w:val="ky-KG"/>
        </w:rPr>
        <w:t xml:space="preserve">-жылга </w:t>
      </w:r>
      <w:r w:rsidRPr="00980449">
        <w:rPr>
          <w:bCs/>
          <w:sz w:val="24"/>
          <w:szCs w:val="24"/>
          <w:lang w:val="ky-KG"/>
        </w:rPr>
        <w:t xml:space="preserve">салыштырмалуу </w:t>
      </w:r>
      <w:r w:rsidRPr="00980449">
        <w:rPr>
          <w:sz w:val="24"/>
          <w:szCs w:val="24"/>
          <w:lang w:val="ky-KG"/>
        </w:rPr>
        <w:t xml:space="preserve">дебитордук карыздардын </w:t>
      </w:r>
      <w:r w:rsidR="007F1256" w:rsidRPr="00980449">
        <w:rPr>
          <w:sz w:val="24"/>
          <w:szCs w:val="24"/>
          <w:lang w:val="ky-KG"/>
        </w:rPr>
        <w:t xml:space="preserve">көлөмү </w:t>
      </w:r>
      <w:r w:rsidR="008A1F80" w:rsidRPr="00980449">
        <w:rPr>
          <w:sz w:val="24"/>
          <w:szCs w:val="24"/>
          <w:lang w:val="ky-KG"/>
        </w:rPr>
        <w:t>Жалал-Абад</w:t>
      </w:r>
      <w:r w:rsidRPr="00980449">
        <w:rPr>
          <w:sz w:val="24"/>
          <w:szCs w:val="24"/>
          <w:lang w:val="ky-KG"/>
        </w:rPr>
        <w:t xml:space="preserve"> облусунун ишканалары</w:t>
      </w:r>
      <w:r w:rsidR="00F0231A" w:rsidRPr="00980449">
        <w:rPr>
          <w:sz w:val="24"/>
          <w:szCs w:val="24"/>
          <w:lang w:val="ky-KG"/>
        </w:rPr>
        <w:t>н</w:t>
      </w:r>
      <w:r w:rsidR="004C6DCE" w:rsidRPr="00980449">
        <w:rPr>
          <w:sz w:val="24"/>
          <w:szCs w:val="24"/>
          <w:lang w:val="ky-KG"/>
        </w:rPr>
        <w:t>д</w:t>
      </w:r>
      <w:r w:rsidR="00F0231A" w:rsidRPr="00980449">
        <w:rPr>
          <w:sz w:val="24"/>
          <w:szCs w:val="24"/>
          <w:lang w:val="ky-KG"/>
        </w:rPr>
        <w:t>а</w:t>
      </w:r>
      <w:r w:rsidRPr="00980449">
        <w:rPr>
          <w:sz w:val="24"/>
          <w:szCs w:val="24"/>
          <w:lang w:val="ky-KG"/>
        </w:rPr>
        <w:t xml:space="preserve"> (</w:t>
      </w:r>
      <w:r w:rsidR="008A1F80" w:rsidRPr="00980449">
        <w:rPr>
          <w:sz w:val="24"/>
          <w:szCs w:val="24"/>
          <w:lang w:val="ky-KG"/>
        </w:rPr>
        <w:t>3 749,5</w:t>
      </w:r>
      <w:r w:rsidR="00A04330" w:rsidRPr="00980449">
        <w:rPr>
          <w:sz w:val="24"/>
          <w:szCs w:val="24"/>
          <w:lang w:val="ky-KG"/>
        </w:rPr>
        <w:t xml:space="preserve"> </w:t>
      </w:r>
      <w:r w:rsidR="00FF3C01" w:rsidRPr="00980449">
        <w:rPr>
          <w:sz w:val="24"/>
          <w:szCs w:val="24"/>
          <w:lang w:val="ky-KG"/>
        </w:rPr>
        <w:t xml:space="preserve">млн. сомго) жана </w:t>
      </w:r>
      <w:r w:rsidR="00A04330" w:rsidRPr="00980449">
        <w:rPr>
          <w:sz w:val="24"/>
          <w:szCs w:val="24"/>
          <w:lang w:val="ky-KG"/>
        </w:rPr>
        <w:t>Бишкек ш.</w:t>
      </w:r>
      <w:r w:rsidRPr="00980449">
        <w:rPr>
          <w:sz w:val="24"/>
          <w:szCs w:val="24"/>
          <w:lang w:val="ky-KG"/>
        </w:rPr>
        <w:t xml:space="preserve"> ишканалары</w:t>
      </w:r>
      <w:r w:rsidR="00F0231A" w:rsidRPr="00980449">
        <w:rPr>
          <w:sz w:val="24"/>
          <w:szCs w:val="24"/>
          <w:lang w:val="ky-KG"/>
        </w:rPr>
        <w:t>н</w:t>
      </w:r>
      <w:r w:rsidR="004C6DCE" w:rsidRPr="00980449">
        <w:rPr>
          <w:sz w:val="24"/>
          <w:szCs w:val="24"/>
          <w:lang w:val="ky-KG"/>
        </w:rPr>
        <w:t>д</w:t>
      </w:r>
      <w:r w:rsidR="00F0231A" w:rsidRPr="00980449">
        <w:rPr>
          <w:sz w:val="24"/>
          <w:szCs w:val="24"/>
          <w:lang w:val="ky-KG"/>
        </w:rPr>
        <w:t>а</w:t>
      </w:r>
      <w:r w:rsidRPr="00980449">
        <w:rPr>
          <w:color w:val="000000"/>
          <w:sz w:val="24"/>
          <w:szCs w:val="24"/>
          <w:lang w:val="ky-KG"/>
        </w:rPr>
        <w:t xml:space="preserve"> </w:t>
      </w:r>
      <w:r w:rsidR="00A04330" w:rsidRPr="00980449">
        <w:rPr>
          <w:color w:val="000000"/>
          <w:sz w:val="24"/>
          <w:szCs w:val="24"/>
          <w:lang w:val="ky-KG"/>
        </w:rPr>
        <w:t>(</w:t>
      </w:r>
      <w:r w:rsidR="008A1F80" w:rsidRPr="00980449">
        <w:rPr>
          <w:color w:val="000000"/>
          <w:sz w:val="24"/>
          <w:szCs w:val="24"/>
          <w:lang w:val="ky-KG"/>
        </w:rPr>
        <w:t>10 751,0</w:t>
      </w:r>
      <w:r w:rsidR="00A04330" w:rsidRPr="00980449">
        <w:rPr>
          <w:color w:val="000000"/>
          <w:sz w:val="24"/>
          <w:szCs w:val="24"/>
          <w:lang w:val="ky-KG"/>
        </w:rPr>
        <w:t xml:space="preserve"> млн. сомго)</w:t>
      </w:r>
      <w:r w:rsidR="00D445C3" w:rsidRPr="00980449">
        <w:rPr>
          <w:color w:val="000000"/>
          <w:sz w:val="24"/>
          <w:szCs w:val="24"/>
          <w:lang w:val="ky-KG"/>
        </w:rPr>
        <w:t xml:space="preserve"> олуттуу </w:t>
      </w:r>
      <w:r w:rsidRPr="00980449">
        <w:rPr>
          <w:color w:val="000000"/>
          <w:sz w:val="24"/>
          <w:szCs w:val="24"/>
          <w:lang w:val="ky-KG"/>
        </w:rPr>
        <w:t>к</w:t>
      </w:r>
      <w:r w:rsidR="00A04330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б</w:t>
      </w:r>
      <w:r w:rsidR="00A04330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йг</w:t>
      </w:r>
      <w:r w:rsidR="00A04330" w:rsidRPr="00980449">
        <w:rPr>
          <w:sz w:val="24"/>
          <w:szCs w:val="24"/>
          <w:lang w:val="ky-KG"/>
        </w:rPr>
        <w:t>ө</w:t>
      </w:r>
      <w:r w:rsidR="00A04330" w:rsidRPr="00980449">
        <w:rPr>
          <w:color w:val="000000"/>
          <w:sz w:val="24"/>
          <w:szCs w:val="24"/>
          <w:lang w:val="ky-KG"/>
        </w:rPr>
        <w:t xml:space="preserve">н. </w:t>
      </w:r>
      <w:r w:rsidRPr="00980449">
        <w:rPr>
          <w:sz w:val="24"/>
          <w:szCs w:val="24"/>
          <w:lang w:val="ky-KG"/>
        </w:rPr>
        <w:t>Кредитордук карызд</w:t>
      </w:r>
      <w:r w:rsidR="00F0231A" w:rsidRPr="00980449">
        <w:rPr>
          <w:sz w:val="24"/>
          <w:szCs w:val="24"/>
          <w:lang w:val="ky-KG"/>
        </w:rPr>
        <w:t>а</w:t>
      </w:r>
      <w:r w:rsidRPr="00980449">
        <w:rPr>
          <w:sz w:val="24"/>
          <w:szCs w:val="24"/>
          <w:lang w:val="ky-KG"/>
        </w:rPr>
        <w:t>р</w:t>
      </w:r>
      <w:r w:rsidR="00F0231A" w:rsidRPr="00980449">
        <w:rPr>
          <w:sz w:val="24"/>
          <w:szCs w:val="24"/>
          <w:lang w:val="ky-KG"/>
        </w:rPr>
        <w:t xml:space="preserve"> боюнча карыздардын</w:t>
      </w:r>
      <w:r w:rsidRPr="00980449">
        <w:rPr>
          <w:sz w:val="24"/>
          <w:szCs w:val="24"/>
          <w:lang w:val="ky-KG"/>
        </w:rPr>
        <w:t xml:space="preserve"> </w:t>
      </w:r>
      <w:r w:rsidR="00A04330" w:rsidRPr="00980449">
        <w:rPr>
          <w:sz w:val="24"/>
          <w:szCs w:val="24"/>
          <w:lang w:val="ky-KG"/>
        </w:rPr>
        <w:t>олуттуу</w:t>
      </w:r>
      <w:r w:rsidRPr="00980449">
        <w:rPr>
          <w:sz w:val="24"/>
          <w:szCs w:val="24"/>
          <w:lang w:val="ky-KG"/>
        </w:rPr>
        <w:t xml:space="preserve"> суммасы Бишкек ш. (</w:t>
      </w:r>
      <w:r w:rsidR="008A1F80" w:rsidRPr="00980449">
        <w:rPr>
          <w:sz w:val="24"/>
          <w:szCs w:val="24"/>
          <w:lang w:val="ky-KG"/>
        </w:rPr>
        <w:t>59,3</w:t>
      </w:r>
      <w:r w:rsidRPr="00980449">
        <w:rPr>
          <w:sz w:val="24"/>
          <w:szCs w:val="24"/>
          <w:lang w:val="ky-KG"/>
        </w:rPr>
        <w:t xml:space="preserve"> пайызы)</w:t>
      </w:r>
      <w:r w:rsidR="006F5AE4" w:rsidRPr="00980449">
        <w:rPr>
          <w:sz w:val="24"/>
          <w:szCs w:val="24"/>
          <w:lang w:val="ky-KG"/>
        </w:rPr>
        <w:t xml:space="preserve"> жана</w:t>
      </w:r>
      <w:r w:rsidRPr="00980449">
        <w:rPr>
          <w:sz w:val="24"/>
          <w:szCs w:val="24"/>
          <w:lang w:val="ky-KG"/>
        </w:rPr>
        <w:t xml:space="preserve"> Чүй </w:t>
      </w:r>
      <w:r w:rsidR="008A1F80" w:rsidRPr="00980449">
        <w:rPr>
          <w:sz w:val="24"/>
          <w:szCs w:val="24"/>
          <w:lang w:val="ky-KG"/>
        </w:rPr>
        <w:t>облусунун</w:t>
      </w:r>
      <w:r w:rsidRPr="00980449">
        <w:rPr>
          <w:sz w:val="24"/>
          <w:szCs w:val="24"/>
          <w:lang w:val="ky-KG"/>
        </w:rPr>
        <w:t xml:space="preserve"> </w:t>
      </w:r>
      <w:r w:rsidR="006F5AE4" w:rsidRPr="00980449">
        <w:rPr>
          <w:sz w:val="24"/>
          <w:szCs w:val="24"/>
          <w:lang w:val="ky-KG"/>
        </w:rPr>
        <w:t xml:space="preserve">(14,8 пайызы) </w:t>
      </w:r>
      <w:r w:rsidRPr="00980449">
        <w:rPr>
          <w:sz w:val="24"/>
          <w:szCs w:val="24"/>
          <w:lang w:val="ky-KG"/>
        </w:rPr>
        <w:t>ишканаларын</w:t>
      </w:r>
      <w:r w:rsidR="00F0231A" w:rsidRPr="00980449">
        <w:rPr>
          <w:sz w:val="24"/>
          <w:szCs w:val="24"/>
          <w:lang w:val="ky-KG"/>
        </w:rPr>
        <w:t>а</w:t>
      </w:r>
      <w:r w:rsidR="00A04330" w:rsidRPr="00980449">
        <w:rPr>
          <w:sz w:val="24"/>
          <w:szCs w:val="24"/>
          <w:lang w:val="ky-KG"/>
        </w:rPr>
        <w:t xml:space="preserve"> </w:t>
      </w:r>
      <w:r w:rsidRPr="00980449">
        <w:rPr>
          <w:sz w:val="24"/>
          <w:szCs w:val="24"/>
          <w:lang w:val="ky-KG"/>
        </w:rPr>
        <w:t xml:space="preserve">туура келди. </w:t>
      </w:r>
      <w:r w:rsidR="00A04330" w:rsidRPr="00980449">
        <w:rPr>
          <w:sz w:val="24"/>
          <w:szCs w:val="24"/>
          <w:lang w:val="ky-KG"/>
        </w:rPr>
        <w:t xml:space="preserve">Мында </w:t>
      </w:r>
      <w:r w:rsidRPr="00980449">
        <w:rPr>
          <w:sz w:val="24"/>
          <w:szCs w:val="24"/>
          <w:lang w:val="ky-KG"/>
        </w:rPr>
        <w:t>201</w:t>
      </w:r>
      <w:r w:rsidR="0006552E" w:rsidRPr="00980449">
        <w:rPr>
          <w:sz w:val="24"/>
          <w:szCs w:val="24"/>
          <w:lang w:val="ky-KG"/>
        </w:rPr>
        <w:t>9</w:t>
      </w:r>
      <w:r w:rsidRPr="00980449">
        <w:rPr>
          <w:sz w:val="24"/>
          <w:szCs w:val="24"/>
          <w:lang w:val="ky-KG"/>
        </w:rPr>
        <w:t>-ж. салыштырмалуу кредитордук карыздырдын</w:t>
      </w:r>
      <w:r w:rsidR="00D445C3" w:rsidRPr="00980449">
        <w:rPr>
          <w:sz w:val="24"/>
          <w:szCs w:val="24"/>
          <w:lang w:val="ky-KG"/>
        </w:rPr>
        <w:t xml:space="preserve"> эң чоң </w:t>
      </w:r>
      <w:r w:rsidR="003A797F" w:rsidRPr="00980449">
        <w:rPr>
          <w:sz w:val="24"/>
          <w:szCs w:val="24"/>
          <w:lang w:val="ky-KG"/>
        </w:rPr>
        <w:t xml:space="preserve">өсүшү </w:t>
      </w:r>
      <w:r w:rsidR="0006552E" w:rsidRPr="00980449">
        <w:rPr>
          <w:sz w:val="24"/>
          <w:szCs w:val="24"/>
          <w:lang w:val="ky-KG"/>
        </w:rPr>
        <w:t>Чүй</w:t>
      </w:r>
      <w:r w:rsidR="003A797F" w:rsidRPr="00980449">
        <w:rPr>
          <w:sz w:val="24"/>
          <w:szCs w:val="24"/>
          <w:lang w:val="ky-KG"/>
        </w:rPr>
        <w:t xml:space="preserve"> облусунун</w:t>
      </w:r>
      <w:r w:rsidRPr="00980449">
        <w:rPr>
          <w:sz w:val="24"/>
          <w:szCs w:val="24"/>
          <w:lang w:val="ky-KG"/>
        </w:rPr>
        <w:t xml:space="preserve"> (</w:t>
      </w:r>
      <w:r w:rsidR="0006552E" w:rsidRPr="00980449">
        <w:rPr>
          <w:sz w:val="24"/>
          <w:szCs w:val="24"/>
          <w:lang w:val="ky-KG"/>
        </w:rPr>
        <w:t>4 286,1</w:t>
      </w:r>
      <w:r w:rsidRPr="00980449">
        <w:rPr>
          <w:sz w:val="24"/>
          <w:szCs w:val="24"/>
          <w:lang w:val="ky-KG"/>
        </w:rPr>
        <w:t xml:space="preserve"> млн. сомго) жана </w:t>
      </w:r>
      <w:r w:rsidR="003A797F" w:rsidRPr="00980449">
        <w:rPr>
          <w:sz w:val="24"/>
          <w:szCs w:val="24"/>
          <w:lang w:val="ky-KG"/>
        </w:rPr>
        <w:t xml:space="preserve">Бишкек ш. </w:t>
      </w:r>
      <w:r w:rsidRPr="00980449">
        <w:rPr>
          <w:sz w:val="24"/>
          <w:szCs w:val="24"/>
          <w:lang w:val="ky-KG"/>
        </w:rPr>
        <w:t>ишканаларында (</w:t>
      </w:r>
      <w:r w:rsidR="0006552E" w:rsidRPr="00980449">
        <w:rPr>
          <w:sz w:val="24"/>
          <w:szCs w:val="24"/>
          <w:lang w:val="ky-KG"/>
        </w:rPr>
        <w:t>14 626,0</w:t>
      </w:r>
      <w:r w:rsidRPr="00980449">
        <w:rPr>
          <w:sz w:val="24"/>
          <w:szCs w:val="24"/>
          <w:lang w:val="ky-KG"/>
        </w:rPr>
        <w:t xml:space="preserve"> млн. сомго) б</w:t>
      </w:r>
      <w:r w:rsidR="00F0231A" w:rsidRPr="00980449">
        <w:rPr>
          <w:sz w:val="24"/>
          <w:szCs w:val="24"/>
          <w:lang w:val="ky-KG"/>
        </w:rPr>
        <w:t>елгиленди</w:t>
      </w:r>
      <w:r w:rsidRPr="00980449">
        <w:rPr>
          <w:sz w:val="24"/>
          <w:szCs w:val="24"/>
          <w:lang w:val="ky-KG"/>
        </w:rPr>
        <w:t xml:space="preserve">. </w:t>
      </w:r>
    </w:p>
    <w:p w:rsidR="00A62179" w:rsidRPr="00980449" w:rsidRDefault="009824B8" w:rsidP="00A62179">
      <w:pPr>
        <w:pStyle w:val="ae"/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 w:rsidR="00CC78B3">
        <w:rPr>
          <w:b/>
          <w:bCs/>
          <w:sz w:val="24"/>
          <w:szCs w:val="24"/>
        </w:rPr>
        <w:t>т</w:t>
      </w:r>
      <w:bookmarkStart w:id="0" w:name="_GoBack"/>
      <w:bookmarkEnd w:id="0"/>
      <w:r>
        <w:rPr>
          <w:b/>
          <w:bCs/>
          <w:sz w:val="24"/>
          <w:szCs w:val="24"/>
        </w:rPr>
        <w:t xml:space="preserve">аблица: </w:t>
      </w:r>
      <w:r w:rsidR="00A62179" w:rsidRPr="00980449">
        <w:rPr>
          <w:b/>
          <w:bCs/>
          <w:sz w:val="24"/>
          <w:szCs w:val="24"/>
        </w:rPr>
        <w:t>Айм</w:t>
      </w:r>
      <w:r w:rsidR="007E26FA" w:rsidRPr="00980449">
        <w:rPr>
          <w:b/>
          <w:bCs/>
          <w:sz w:val="24"/>
          <w:szCs w:val="24"/>
        </w:rPr>
        <w:t>ак</w:t>
      </w:r>
      <w:r w:rsidR="00427DE5" w:rsidRPr="00980449">
        <w:rPr>
          <w:b/>
          <w:bCs/>
          <w:sz w:val="24"/>
          <w:szCs w:val="24"/>
        </w:rPr>
        <w:t>тар боюнча ишканалардын карыз</w:t>
      </w:r>
      <w:r w:rsidR="007E26FA" w:rsidRPr="00980449">
        <w:rPr>
          <w:b/>
          <w:bCs/>
          <w:sz w:val="24"/>
          <w:szCs w:val="24"/>
        </w:rPr>
        <w:t>ы</w:t>
      </w:r>
    </w:p>
    <w:p w:rsidR="00A62179" w:rsidRPr="00980449" w:rsidRDefault="00A62179" w:rsidP="009824B8">
      <w:pPr>
        <w:spacing w:after="120"/>
        <w:ind w:firstLine="1304"/>
        <w:jc w:val="both"/>
        <w:rPr>
          <w:bCs/>
          <w:i/>
          <w:sz w:val="18"/>
          <w:szCs w:val="18"/>
        </w:rPr>
      </w:pPr>
      <w:r w:rsidRPr="00980449">
        <w:rPr>
          <w:bCs/>
          <w:i/>
          <w:sz w:val="18"/>
          <w:szCs w:val="18"/>
        </w:rPr>
        <w:t>(млн. сом)</w:t>
      </w:r>
    </w:p>
    <w:tbl>
      <w:tblPr>
        <w:tblW w:w="4851" w:type="pct"/>
        <w:jc w:val="center"/>
        <w:tblLook w:val="04A0" w:firstRow="1" w:lastRow="0" w:firstColumn="1" w:lastColumn="0" w:noHBand="0" w:noVBand="1"/>
      </w:tblPr>
      <w:tblGrid>
        <w:gridCol w:w="2255"/>
        <w:gridCol w:w="990"/>
        <w:gridCol w:w="1126"/>
        <w:gridCol w:w="1408"/>
        <w:gridCol w:w="1169"/>
        <w:gridCol w:w="991"/>
        <w:gridCol w:w="1412"/>
      </w:tblGrid>
      <w:tr w:rsidR="00A62179" w:rsidRPr="00980449" w:rsidTr="00980449">
        <w:trPr>
          <w:trHeight w:val="259"/>
          <w:jc w:val="center"/>
        </w:trPr>
        <w:tc>
          <w:tcPr>
            <w:tcW w:w="1205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62179" w:rsidRPr="00980449" w:rsidRDefault="00A62179" w:rsidP="00624876">
            <w:pPr>
              <w:spacing w:before="40" w:after="40"/>
            </w:pPr>
          </w:p>
        </w:tc>
        <w:tc>
          <w:tcPr>
            <w:tcW w:w="188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62179" w:rsidRPr="00980449" w:rsidRDefault="00A62179" w:rsidP="00624876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  <w:bCs/>
                <w:lang w:val="ky-KG"/>
              </w:rPr>
              <w:t>Дебитордук карыз</w:t>
            </w:r>
          </w:p>
        </w:tc>
        <w:tc>
          <w:tcPr>
            <w:tcW w:w="1910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62179" w:rsidRPr="00980449" w:rsidRDefault="00A62179" w:rsidP="00624876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  <w:bCs/>
                <w:lang w:val="ky-KG"/>
              </w:rPr>
              <w:t>Кредитордук карыз</w:t>
            </w:r>
          </w:p>
        </w:tc>
      </w:tr>
      <w:tr w:rsidR="00427DE5" w:rsidRPr="00980449" w:rsidTr="00980449">
        <w:trPr>
          <w:trHeight w:val="291"/>
          <w:jc w:val="center"/>
        </w:trPr>
        <w:tc>
          <w:tcPr>
            <w:tcW w:w="1205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DE5" w:rsidRPr="00980449" w:rsidRDefault="00427DE5" w:rsidP="00427DE5">
            <w:pPr>
              <w:spacing w:before="40" w:after="40"/>
            </w:pPr>
          </w:p>
        </w:tc>
        <w:tc>
          <w:tcPr>
            <w:tcW w:w="52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27DE5" w:rsidRPr="00980449" w:rsidRDefault="00427DE5" w:rsidP="003F7C09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</w:rPr>
              <w:t>201</w:t>
            </w:r>
            <w:r w:rsidR="003F7C09" w:rsidRPr="00980449">
              <w:rPr>
                <w:b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27DE5" w:rsidRPr="00980449" w:rsidRDefault="00427DE5" w:rsidP="003F7C09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</w:rPr>
              <w:t>20</w:t>
            </w:r>
            <w:r w:rsidR="003F7C09" w:rsidRPr="00980449">
              <w:rPr>
                <w:b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8" w:space="0" w:color="auto"/>
            </w:tcBorders>
          </w:tcPr>
          <w:p w:rsidR="00427DE5" w:rsidRPr="00980449" w:rsidRDefault="00427DE5" w:rsidP="00427DE5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</w:rPr>
              <w:t>20</w:t>
            </w:r>
            <w:r w:rsidR="003F7C09" w:rsidRPr="00980449">
              <w:rPr>
                <w:b/>
              </w:rPr>
              <w:t>20</w:t>
            </w:r>
          </w:p>
          <w:p w:rsidR="00427DE5" w:rsidRPr="00980449" w:rsidRDefault="00427DE5" w:rsidP="003F7C09">
            <w:pPr>
              <w:spacing w:before="40" w:after="40"/>
              <w:jc w:val="center"/>
              <w:rPr>
                <w:b/>
                <w:lang w:val="ky-KG"/>
              </w:rPr>
            </w:pPr>
            <w:r w:rsidRPr="00980449">
              <w:rPr>
                <w:b/>
              </w:rPr>
              <w:t>201</w:t>
            </w:r>
            <w:r w:rsidR="003F7C09" w:rsidRPr="00980449">
              <w:rPr>
                <w:b/>
              </w:rPr>
              <w:t>6</w:t>
            </w:r>
            <w:r w:rsidRPr="00980449">
              <w:rPr>
                <w:b/>
                <w:lang w:val="ky-KG"/>
              </w:rPr>
              <w:t>-жылга карата пайыз менен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8" w:space="0" w:color="auto"/>
            </w:tcBorders>
          </w:tcPr>
          <w:p w:rsidR="00427DE5" w:rsidRPr="00980449" w:rsidRDefault="00427DE5" w:rsidP="003F7C09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</w:rPr>
              <w:t>201</w:t>
            </w:r>
            <w:r w:rsidR="003F7C09" w:rsidRPr="00980449">
              <w:rPr>
                <w:b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27DE5" w:rsidRPr="00980449" w:rsidRDefault="00427DE5" w:rsidP="003F7C09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</w:rPr>
              <w:t>20</w:t>
            </w:r>
            <w:r w:rsidR="003F7C09" w:rsidRPr="00980449">
              <w:rPr>
                <w:b/>
              </w:rPr>
              <w:t>20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8" w:space="0" w:color="auto"/>
            </w:tcBorders>
          </w:tcPr>
          <w:p w:rsidR="00427DE5" w:rsidRPr="00980449" w:rsidRDefault="00427DE5" w:rsidP="00427DE5">
            <w:pPr>
              <w:spacing w:before="40" w:after="40"/>
              <w:jc w:val="center"/>
              <w:rPr>
                <w:b/>
              </w:rPr>
            </w:pPr>
            <w:r w:rsidRPr="00980449">
              <w:rPr>
                <w:b/>
              </w:rPr>
              <w:t>20</w:t>
            </w:r>
            <w:r w:rsidR="003F7C09" w:rsidRPr="00980449">
              <w:rPr>
                <w:b/>
              </w:rPr>
              <w:t>20</w:t>
            </w:r>
          </w:p>
          <w:p w:rsidR="00427DE5" w:rsidRPr="00980449" w:rsidRDefault="00427DE5" w:rsidP="003F7C09">
            <w:pPr>
              <w:spacing w:before="40" w:after="40"/>
              <w:jc w:val="center"/>
              <w:rPr>
                <w:b/>
                <w:lang w:val="ky-KG"/>
              </w:rPr>
            </w:pPr>
            <w:r w:rsidRPr="00980449">
              <w:rPr>
                <w:b/>
              </w:rPr>
              <w:t>201</w:t>
            </w:r>
            <w:r w:rsidR="003F7C09" w:rsidRPr="00980449">
              <w:rPr>
                <w:b/>
              </w:rPr>
              <w:t>6</w:t>
            </w:r>
            <w:r w:rsidRPr="00980449">
              <w:rPr>
                <w:b/>
                <w:lang w:val="ky-KG"/>
              </w:rPr>
              <w:t>-жылга карата пайыз менен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Баткен облусу</w:t>
            </w:r>
          </w:p>
        </w:tc>
        <w:tc>
          <w:tcPr>
            <w:tcW w:w="529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519,7</w:t>
            </w:r>
          </w:p>
        </w:tc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869,2</w:t>
            </w:r>
          </w:p>
        </w:tc>
        <w:tc>
          <w:tcPr>
            <w:tcW w:w="753" w:type="pct"/>
            <w:tcBorders>
              <w:top w:val="single" w:sz="8" w:space="0" w:color="auto"/>
            </w:tcBorders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167,3</w:t>
            </w:r>
          </w:p>
        </w:tc>
        <w:tc>
          <w:tcPr>
            <w:tcW w:w="625" w:type="pct"/>
            <w:tcBorders>
              <w:top w:val="single" w:sz="8" w:space="0" w:color="auto"/>
            </w:tcBorders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1 866,8</w:t>
            </w:r>
          </w:p>
        </w:tc>
        <w:tc>
          <w:tcPr>
            <w:tcW w:w="53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3 251,4</w:t>
            </w:r>
          </w:p>
        </w:tc>
        <w:tc>
          <w:tcPr>
            <w:tcW w:w="755" w:type="pct"/>
            <w:tcBorders>
              <w:top w:val="single" w:sz="8" w:space="0" w:color="auto"/>
            </w:tcBorders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174,2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Жалал-Абад облусу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8 954,2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15 008,2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167,6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20 612,8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23 657,3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114,8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Ысык-Көл облусу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3 136,3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2 476,8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79,0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10 426,5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10 974,4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105,3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Нарын облусу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754,0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1 287,2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1,7 эсе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1 081,7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1 878,0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173,6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Ош облусу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1 589,1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4 047,7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2,5 эсе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2 790,8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5 116,9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1,8 эсе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Талас облусу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560,3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5 550,4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9,9 эсе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1 043,9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5 751,6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5,5 эсе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Чүй облусу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15 424,2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20 037,4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129,9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26 482,6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39 236,4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148,2</w:t>
            </w:r>
          </w:p>
        </w:tc>
      </w:tr>
      <w:tr w:rsidR="001E0281" w:rsidRPr="00980449" w:rsidTr="00980449">
        <w:trPr>
          <w:trHeight w:val="246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Бишкек ш.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69 289,9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108 328,8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156,3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108 664,2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157 175,3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144,6</w:t>
            </w:r>
          </w:p>
        </w:tc>
      </w:tr>
      <w:tr w:rsidR="001E0281" w:rsidRPr="00980449" w:rsidTr="00980449">
        <w:trPr>
          <w:trHeight w:val="262"/>
          <w:jc w:val="center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1E0281" w:rsidRPr="00980449" w:rsidRDefault="001E0281" w:rsidP="001E0281">
            <w:pPr>
              <w:spacing w:before="40" w:after="20"/>
            </w:pPr>
            <w:r w:rsidRPr="00980449">
              <w:t>Ош ш.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2 450,6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4 432,2</w:t>
            </w:r>
          </w:p>
        </w:tc>
        <w:tc>
          <w:tcPr>
            <w:tcW w:w="753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1,8 эсе</w:t>
            </w:r>
          </w:p>
        </w:tc>
        <w:tc>
          <w:tcPr>
            <w:tcW w:w="625" w:type="pct"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7 296,6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11 035,6</w:t>
            </w:r>
          </w:p>
        </w:tc>
        <w:tc>
          <w:tcPr>
            <w:tcW w:w="755" w:type="pct"/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151,2</w:t>
            </w:r>
          </w:p>
        </w:tc>
      </w:tr>
      <w:tr w:rsidR="001E0281" w:rsidRPr="00980449" w:rsidTr="00980449">
        <w:trPr>
          <w:trHeight w:val="262"/>
          <w:jc w:val="center"/>
        </w:trPr>
        <w:tc>
          <w:tcPr>
            <w:tcW w:w="1205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spacing w:before="40" w:after="20"/>
            </w:pPr>
            <w:r w:rsidRPr="00980449">
              <w:t>Облустарга бөлүнбөгөн</w:t>
            </w:r>
          </w:p>
          <w:p w:rsidR="001E0281" w:rsidRPr="00980449" w:rsidRDefault="001E0281" w:rsidP="001E0281">
            <w:pPr>
              <w:spacing w:before="40" w:after="20"/>
            </w:pPr>
            <w:r w:rsidRPr="00980449">
              <w:t xml:space="preserve"> ишканалар (уюмдар)</w:t>
            </w:r>
            <w:r w:rsidRPr="00980449">
              <w:rPr>
                <w:vertAlign w:val="superscript"/>
              </w:rPr>
              <w:t xml:space="preserve"> *</w:t>
            </w:r>
          </w:p>
        </w:tc>
        <w:tc>
          <w:tcPr>
            <w:tcW w:w="52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27 235,8</w:t>
            </w:r>
          </w:p>
        </w:tc>
        <w:tc>
          <w:tcPr>
            <w:tcW w:w="602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11 956,5</w:t>
            </w:r>
          </w:p>
        </w:tc>
        <w:tc>
          <w:tcPr>
            <w:tcW w:w="753" w:type="pct"/>
            <w:tcBorders>
              <w:bottom w:val="single" w:sz="8" w:space="0" w:color="auto"/>
            </w:tcBorders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43,9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6 016,7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E0281" w:rsidRPr="00980449" w:rsidRDefault="001E0281" w:rsidP="001E0281">
            <w:pPr>
              <w:jc w:val="right"/>
              <w:rPr>
                <w:color w:val="000000"/>
                <w:sz w:val="18"/>
                <w:szCs w:val="18"/>
              </w:rPr>
            </w:pPr>
            <w:r w:rsidRPr="00980449">
              <w:rPr>
                <w:color w:val="000000"/>
                <w:sz w:val="18"/>
                <w:szCs w:val="18"/>
              </w:rPr>
              <w:t>7 024,4</w:t>
            </w:r>
          </w:p>
        </w:tc>
        <w:tc>
          <w:tcPr>
            <w:tcW w:w="755" w:type="pct"/>
            <w:tcBorders>
              <w:bottom w:val="single" w:sz="8" w:space="0" w:color="auto"/>
            </w:tcBorders>
            <w:vAlign w:val="bottom"/>
          </w:tcPr>
          <w:p w:rsidR="001E0281" w:rsidRPr="00980449" w:rsidRDefault="001E0281" w:rsidP="001E0281">
            <w:pPr>
              <w:jc w:val="right"/>
              <w:rPr>
                <w:bCs/>
                <w:color w:val="000000"/>
              </w:rPr>
            </w:pPr>
            <w:r w:rsidRPr="00980449">
              <w:rPr>
                <w:bCs/>
                <w:color w:val="000000"/>
              </w:rPr>
              <w:t>116,7</w:t>
            </w:r>
          </w:p>
        </w:tc>
      </w:tr>
    </w:tbl>
    <w:p w:rsidR="003A797F" w:rsidRPr="00980449" w:rsidRDefault="003A797F" w:rsidP="002B5D85">
      <w:pPr>
        <w:pStyle w:val="af2"/>
        <w:spacing w:before="40"/>
        <w:ind w:left="340" w:hanging="170"/>
        <w:rPr>
          <w:sz w:val="18"/>
          <w:szCs w:val="18"/>
        </w:rPr>
      </w:pPr>
      <w:r w:rsidRPr="00980449">
        <w:rPr>
          <w:sz w:val="18"/>
          <w:szCs w:val="18"/>
        </w:rPr>
        <w:t>*Электр энергетик</w:t>
      </w:r>
      <w:r w:rsidRPr="00980449">
        <w:rPr>
          <w:sz w:val="18"/>
          <w:szCs w:val="18"/>
          <w:lang w:val="ky-KG"/>
        </w:rPr>
        <w:t xml:space="preserve">а, мунайзат продуктуларын жөнөтүү жана газды бөлүштүрүү боюнча ишмердиги, почта ишмердиги жана </w:t>
      </w:r>
      <w:r w:rsidR="004C6DCE" w:rsidRPr="00980449">
        <w:rPr>
          <w:sz w:val="18"/>
          <w:szCs w:val="18"/>
          <w:lang w:val="ky-KG"/>
        </w:rPr>
        <w:t xml:space="preserve">кайра </w:t>
      </w:r>
      <w:r w:rsidRPr="00980449">
        <w:rPr>
          <w:sz w:val="18"/>
          <w:szCs w:val="18"/>
          <w:lang w:val="ky-KG"/>
        </w:rPr>
        <w:t>иштетүүчү өнөр жай чөйрөлөрүндө ишмердик жүргүзүүчү республикалык маанидеги ишканалар</w:t>
      </w:r>
      <w:r w:rsidRPr="00980449">
        <w:rPr>
          <w:sz w:val="18"/>
          <w:szCs w:val="18"/>
        </w:rPr>
        <w:t>.</w:t>
      </w:r>
    </w:p>
    <w:p w:rsidR="00A62179" w:rsidRPr="00980449" w:rsidRDefault="00A62179" w:rsidP="00980449">
      <w:pPr>
        <w:pStyle w:val="ae"/>
        <w:spacing w:before="120"/>
        <w:ind w:firstLine="709"/>
        <w:rPr>
          <w:color w:val="000000"/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>20</w:t>
      </w:r>
      <w:r w:rsidR="001455A4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 xml:space="preserve">-жылдын аягына карата </w:t>
      </w:r>
      <w:r w:rsidRPr="00980449">
        <w:rPr>
          <w:color w:val="000000"/>
          <w:sz w:val="24"/>
          <w:szCs w:val="24"/>
          <w:lang w:val="ky-KG"/>
        </w:rPr>
        <w:t>банктардын кредиттери жана зайымдары боюнча карызы 201</w:t>
      </w:r>
      <w:r w:rsidR="001455A4" w:rsidRPr="00980449">
        <w:rPr>
          <w:color w:val="000000"/>
          <w:sz w:val="24"/>
          <w:szCs w:val="24"/>
          <w:lang w:val="ky-KG"/>
        </w:rPr>
        <w:t>9</w:t>
      </w:r>
      <w:r w:rsidR="003A797F" w:rsidRPr="00980449">
        <w:rPr>
          <w:color w:val="000000"/>
          <w:sz w:val="24"/>
          <w:szCs w:val="24"/>
          <w:lang w:val="ky-KG"/>
        </w:rPr>
        <w:t>-</w:t>
      </w:r>
      <w:r w:rsidRPr="00980449">
        <w:rPr>
          <w:color w:val="000000"/>
          <w:sz w:val="24"/>
          <w:szCs w:val="24"/>
          <w:lang w:val="ky-KG"/>
        </w:rPr>
        <w:t>жылдын де</w:t>
      </w:r>
      <w:r w:rsidR="003A797F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Pr="00980449">
        <w:rPr>
          <w:color w:val="000000"/>
          <w:sz w:val="24"/>
          <w:szCs w:val="24"/>
          <w:lang w:val="ky-KG"/>
        </w:rPr>
        <w:t xml:space="preserve">гээлине салыштырмалуу </w:t>
      </w:r>
      <w:r w:rsidR="001455A4" w:rsidRPr="00980449">
        <w:rPr>
          <w:color w:val="000000"/>
          <w:sz w:val="24"/>
          <w:szCs w:val="24"/>
          <w:lang w:val="ky-KG"/>
        </w:rPr>
        <w:t>19,2</w:t>
      </w:r>
      <w:r w:rsidRPr="00980449">
        <w:rPr>
          <w:color w:val="000000"/>
          <w:sz w:val="24"/>
          <w:szCs w:val="24"/>
          <w:lang w:val="ky-KG"/>
        </w:rPr>
        <w:t xml:space="preserve"> пайызга же </w:t>
      </w:r>
      <w:r w:rsidR="001455A4" w:rsidRPr="00980449">
        <w:rPr>
          <w:color w:val="000000"/>
          <w:sz w:val="24"/>
          <w:szCs w:val="24"/>
          <w:lang w:val="ky-KG"/>
        </w:rPr>
        <w:t>77 617,9</w:t>
      </w:r>
      <w:r w:rsidRPr="00980449">
        <w:rPr>
          <w:color w:val="000000"/>
          <w:sz w:val="24"/>
          <w:szCs w:val="24"/>
          <w:lang w:val="ky-KG"/>
        </w:rPr>
        <w:t xml:space="preserve"> млн. сомго к</w:t>
      </w:r>
      <w:r w:rsidR="00AD352C" w:rsidRPr="00980449">
        <w:rPr>
          <w:sz w:val="24"/>
          <w:szCs w:val="24"/>
          <w:lang w:val="ky-KG"/>
        </w:rPr>
        <w:t>ө</w:t>
      </w:r>
      <w:r w:rsidRPr="00980449">
        <w:rPr>
          <w:bCs/>
          <w:sz w:val="24"/>
          <w:szCs w:val="24"/>
          <w:lang w:val="ky-KG"/>
        </w:rPr>
        <w:t>б</w:t>
      </w:r>
      <w:r w:rsidR="00AD352C" w:rsidRPr="00980449">
        <w:rPr>
          <w:sz w:val="24"/>
          <w:szCs w:val="24"/>
          <w:lang w:val="ky-KG"/>
        </w:rPr>
        <w:t>ө</w:t>
      </w:r>
      <w:r w:rsidRPr="00980449">
        <w:rPr>
          <w:bCs/>
          <w:sz w:val="24"/>
          <w:szCs w:val="24"/>
          <w:lang w:val="ky-KG"/>
        </w:rPr>
        <w:t>й</w:t>
      </w:r>
      <w:r w:rsidR="00AD352C" w:rsidRPr="00980449">
        <w:rPr>
          <w:sz w:val="24"/>
          <w:szCs w:val="24"/>
          <w:lang w:val="ky-KG"/>
        </w:rPr>
        <w:t>үү</w:t>
      </w:r>
      <w:r w:rsidRPr="00980449">
        <w:rPr>
          <w:bCs/>
          <w:sz w:val="24"/>
          <w:szCs w:val="24"/>
          <w:lang w:val="ky-KG"/>
        </w:rPr>
        <w:t xml:space="preserve"> </w:t>
      </w:r>
      <w:r w:rsidRPr="00980449">
        <w:rPr>
          <w:color w:val="000000"/>
          <w:sz w:val="24"/>
          <w:szCs w:val="24"/>
          <w:lang w:val="ky-KG"/>
        </w:rPr>
        <w:t xml:space="preserve">менен </w:t>
      </w:r>
      <w:r w:rsidR="00AD352C" w:rsidRPr="00980449">
        <w:rPr>
          <w:color w:val="000000"/>
          <w:sz w:val="24"/>
          <w:szCs w:val="24"/>
          <w:lang w:val="ky-KG"/>
        </w:rPr>
        <w:t>4</w:t>
      </w:r>
      <w:r w:rsidR="001455A4" w:rsidRPr="00980449">
        <w:rPr>
          <w:color w:val="000000"/>
          <w:sz w:val="24"/>
          <w:szCs w:val="24"/>
          <w:lang w:val="ky-KG"/>
        </w:rPr>
        <w:t>81 166,8</w:t>
      </w:r>
      <w:r w:rsidRPr="00980449">
        <w:rPr>
          <w:color w:val="000000"/>
          <w:sz w:val="24"/>
          <w:szCs w:val="24"/>
          <w:lang w:val="ky-KG"/>
        </w:rPr>
        <w:t xml:space="preserve"> млн. сомго жетти. Муну менен бирге</w:t>
      </w:r>
      <w:r w:rsidR="00F0231A" w:rsidRPr="00980449">
        <w:rPr>
          <w:color w:val="000000"/>
          <w:sz w:val="24"/>
          <w:szCs w:val="24"/>
          <w:lang w:val="ky-KG"/>
        </w:rPr>
        <w:t>,</w:t>
      </w:r>
      <w:r w:rsidRPr="00980449">
        <w:rPr>
          <w:color w:val="000000"/>
          <w:sz w:val="24"/>
          <w:szCs w:val="24"/>
          <w:lang w:val="ky-KG"/>
        </w:rPr>
        <w:t xml:space="preserve"> акыркы быш жылда алардын </w:t>
      </w:r>
      <w:r w:rsidR="00AD352C" w:rsidRPr="00980449">
        <w:rPr>
          <w:sz w:val="24"/>
          <w:szCs w:val="24"/>
          <w:lang w:val="ky-KG"/>
        </w:rPr>
        <w:t>көлөмү</w:t>
      </w:r>
      <w:r w:rsidR="00AD352C" w:rsidRPr="00980449">
        <w:rPr>
          <w:color w:val="000000"/>
          <w:sz w:val="24"/>
          <w:szCs w:val="24"/>
          <w:lang w:val="ky-KG"/>
        </w:rPr>
        <w:t xml:space="preserve"> </w:t>
      </w:r>
      <w:r w:rsidR="001455A4" w:rsidRPr="00980449">
        <w:rPr>
          <w:color w:val="000000"/>
          <w:sz w:val="24"/>
          <w:szCs w:val="24"/>
          <w:lang w:val="ky-KG"/>
        </w:rPr>
        <w:t>36,5</w:t>
      </w:r>
      <w:r w:rsidR="00AD352C" w:rsidRPr="00980449">
        <w:rPr>
          <w:color w:val="000000"/>
          <w:sz w:val="24"/>
          <w:szCs w:val="24"/>
          <w:lang w:val="ky-KG"/>
        </w:rPr>
        <w:t xml:space="preserve"> пайызга </w:t>
      </w:r>
      <w:r w:rsidRPr="00980449">
        <w:rPr>
          <w:color w:val="000000"/>
          <w:sz w:val="24"/>
          <w:szCs w:val="24"/>
          <w:lang w:val="ky-KG"/>
        </w:rPr>
        <w:t xml:space="preserve">же </w:t>
      </w:r>
      <w:r w:rsidR="001455A4" w:rsidRPr="00980449">
        <w:rPr>
          <w:color w:val="000000"/>
          <w:sz w:val="24"/>
          <w:szCs w:val="24"/>
          <w:lang w:val="ky-KG"/>
        </w:rPr>
        <w:t>128 628,8</w:t>
      </w:r>
      <w:r w:rsidRPr="00980449">
        <w:rPr>
          <w:color w:val="000000"/>
          <w:sz w:val="24"/>
          <w:szCs w:val="24"/>
          <w:lang w:val="ky-KG"/>
        </w:rPr>
        <w:t xml:space="preserve"> млн. сомго </w:t>
      </w:r>
      <w:r w:rsidR="00F0231A" w:rsidRPr="00980449">
        <w:rPr>
          <w:color w:val="000000"/>
          <w:sz w:val="24"/>
          <w:szCs w:val="24"/>
          <w:lang w:val="ky-KG"/>
        </w:rPr>
        <w:t>өск</w:t>
      </w:r>
      <w:r w:rsidR="00AD352C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 xml:space="preserve">н. </w:t>
      </w:r>
    </w:p>
    <w:p w:rsidR="00A62179" w:rsidRPr="00980449" w:rsidRDefault="00A62179" w:rsidP="00980449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color w:val="000000"/>
          <w:sz w:val="24"/>
          <w:szCs w:val="24"/>
          <w:lang w:val="ky-KG"/>
        </w:rPr>
        <w:t>20</w:t>
      </w:r>
      <w:r w:rsidR="00980449" w:rsidRPr="00980449">
        <w:rPr>
          <w:color w:val="000000"/>
          <w:sz w:val="24"/>
          <w:szCs w:val="24"/>
          <w:lang w:val="ky-KG"/>
        </w:rPr>
        <w:t>20-</w:t>
      </w:r>
      <w:r w:rsidR="00D445C3" w:rsidRPr="00980449">
        <w:rPr>
          <w:color w:val="000000"/>
          <w:sz w:val="24"/>
          <w:szCs w:val="24"/>
          <w:lang w:val="ky-KG"/>
        </w:rPr>
        <w:t>жылы</w:t>
      </w:r>
      <w:r w:rsidRPr="00980449">
        <w:rPr>
          <w:color w:val="000000"/>
          <w:sz w:val="24"/>
          <w:szCs w:val="24"/>
          <w:lang w:val="ky-KG"/>
        </w:rPr>
        <w:t xml:space="preserve"> кредиттер жана </w:t>
      </w:r>
      <w:r w:rsidR="00AD352C" w:rsidRPr="00980449">
        <w:rPr>
          <w:color w:val="000000"/>
          <w:sz w:val="24"/>
          <w:szCs w:val="24"/>
          <w:lang w:val="ky-KG"/>
        </w:rPr>
        <w:t xml:space="preserve">зайымдар боюнча карыздардын </w:t>
      </w:r>
      <w:r w:rsidR="00191EFD" w:rsidRPr="00980449">
        <w:rPr>
          <w:color w:val="000000"/>
          <w:sz w:val="24"/>
          <w:szCs w:val="24"/>
          <w:lang w:val="ky-KG"/>
        </w:rPr>
        <w:t xml:space="preserve">суммаларынын </w:t>
      </w:r>
      <w:r w:rsidRPr="00980449">
        <w:rPr>
          <w:color w:val="000000"/>
          <w:sz w:val="24"/>
          <w:szCs w:val="24"/>
          <w:lang w:val="ky-KG"/>
        </w:rPr>
        <w:t xml:space="preserve">олуттуу </w:t>
      </w:r>
      <w:r w:rsidR="00AD352C" w:rsidRPr="00980449">
        <w:rPr>
          <w:sz w:val="24"/>
          <w:szCs w:val="24"/>
          <w:lang w:val="ky-KG"/>
        </w:rPr>
        <w:t>өсүшү</w:t>
      </w:r>
      <w:r w:rsidR="00AD352C" w:rsidRPr="00980449">
        <w:rPr>
          <w:color w:val="000000"/>
          <w:sz w:val="24"/>
          <w:szCs w:val="24"/>
          <w:lang w:val="ky-KG"/>
        </w:rPr>
        <w:t xml:space="preserve"> </w:t>
      </w:r>
      <w:r w:rsidR="00980449" w:rsidRPr="00980449">
        <w:rPr>
          <w:sz w:val="24"/>
          <w:szCs w:val="24"/>
          <w:lang w:val="ky-KG"/>
        </w:rPr>
        <w:t xml:space="preserve">электр энергиясынын өндүрүү </w:t>
      </w:r>
      <w:r w:rsidR="00980449" w:rsidRPr="00980449">
        <w:rPr>
          <w:bCs/>
          <w:sz w:val="24"/>
          <w:szCs w:val="24"/>
          <w:lang w:val="ky-KG"/>
        </w:rPr>
        <w:t>(чыгаруу),</w:t>
      </w:r>
      <w:r w:rsidR="00980449" w:rsidRPr="00980449">
        <w:rPr>
          <w:sz w:val="24"/>
          <w:szCs w:val="24"/>
          <w:lang w:val="ky-KG"/>
        </w:rPr>
        <w:t xml:space="preserve"> аны берүү жана бөлүштүрүү</w:t>
      </w:r>
      <w:r w:rsidR="00980449" w:rsidRPr="00980449">
        <w:rPr>
          <w:bCs/>
          <w:sz w:val="24"/>
          <w:szCs w:val="24"/>
          <w:lang w:val="ky-KG"/>
        </w:rPr>
        <w:t xml:space="preserve"> ишканаларында (22 693,2 млн. сомго),</w:t>
      </w:r>
      <w:r w:rsidR="00980449" w:rsidRPr="00980449">
        <w:rPr>
          <w:sz w:val="24"/>
          <w:szCs w:val="24"/>
          <w:lang w:val="ky-KG"/>
        </w:rPr>
        <w:t xml:space="preserve"> кесиптик, илимий жана техникалык (анын ичинде геологиялык чалгындоо) </w:t>
      </w:r>
      <w:r w:rsidR="00980449" w:rsidRPr="00980449">
        <w:rPr>
          <w:color w:val="000000"/>
          <w:sz w:val="24"/>
          <w:szCs w:val="24"/>
          <w:lang w:val="ky-KG"/>
        </w:rPr>
        <w:t>(</w:t>
      </w:r>
      <w:r w:rsidR="00980449" w:rsidRPr="00980449">
        <w:rPr>
          <w:sz w:val="24"/>
          <w:szCs w:val="24"/>
          <w:lang w:val="ky-KG"/>
        </w:rPr>
        <w:t xml:space="preserve">18 785,1 млн.), пайдалуу кендерди казуу </w:t>
      </w:r>
      <w:r w:rsidR="00980449" w:rsidRPr="00980449">
        <w:rPr>
          <w:color w:val="000000"/>
          <w:sz w:val="24"/>
          <w:szCs w:val="24"/>
          <w:lang w:val="ky-KG"/>
        </w:rPr>
        <w:t>(</w:t>
      </w:r>
      <w:r w:rsidR="00980449" w:rsidRPr="00980449">
        <w:rPr>
          <w:sz w:val="24"/>
          <w:szCs w:val="24"/>
          <w:lang w:val="ky-KG"/>
        </w:rPr>
        <w:t>9 952,0 млн.), дү</w:t>
      </w:r>
      <w:r w:rsidR="00980449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980449" w:rsidRPr="00980449">
        <w:rPr>
          <w:sz w:val="24"/>
          <w:szCs w:val="24"/>
          <w:lang w:val="ky-KG"/>
        </w:rPr>
        <w:t xml:space="preserve"> жана чекене соода, автоунааларды жана мотоциклдерди о</w:t>
      </w:r>
      <w:r w:rsidR="00980449" w:rsidRPr="00980449">
        <w:rPr>
          <w:color w:val="000000"/>
          <w:sz w:val="24"/>
          <w:szCs w:val="24"/>
          <w:shd w:val="clear" w:color="auto" w:fill="FFFFE1"/>
          <w:lang w:val="ky-KG"/>
        </w:rPr>
        <w:t>ң</w:t>
      </w:r>
      <w:r w:rsidR="00980449" w:rsidRPr="00980449">
        <w:rPr>
          <w:sz w:val="24"/>
          <w:szCs w:val="24"/>
          <w:lang w:val="ky-KG"/>
        </w:rPr>
        <w:t>доо</w:t>
      </w:r>
      <w:r w:rsidR="00980449" w:rsidRPr="00980449">
        <w:rPr>
          <w:bCs/>
          <w:sz w:val="24"/>
          <w:szCs w:val="24"/>
          <w:lang w:val="ky-KG"/>
        </w:rPr>
        <w:t xml:space="preserve"> (8 642,7 млн.),</w:t>
      </w:r>
      <w:r w:rsidR="00980449" w:rsidRPr="00980449">
        <w:rPr>
          <w:sz w:val="24"/>
          <w:szCs w:val="24"/>
          <w:lang w:val="ky-KG"/>
        </w:rPr>
        <w:t xml:space="preserve"> кокс жана тазаланган мунайзат продуктуларын өндүрүү</w:t>
      </w:r>
      <w:r w:rsidR="00980449" w:rsidRPr="00980449">
        <w:rPr>
          <w:color w:val="000000"/>
          <w:sz w:val="24"/>
          <w:szCs w:val="24"/>
          <w:lang w:val="ky-KG"/>
        </w:rPr>
        <w:t xml:space="preserve"> (</w:t>
      </w:r>
      <w:r w:rsidR="00980449" w:rsidRPr="00980449">
        <w:rPr>
          <w:sz w:val="24"/>
          <w:szCs w:val="24"/>
          <w:lang w:val="ky-KG"/>
        </w:rPr>
        <w:t xml:space="preserve">8 561,6 млн.) жана </w:t>
      </w:r>
      <w:r w:rsidR="00980449" w:rsidRPr="00980449">
        <w:rPr>
          <w:color w:val="000000"/>
          <w:sz w:val="24"/>
          <w:szCs w:val="24"/>
          <w:lang w:val="ky-KG"/>
        </w:rPr>
        <w:t>курулуш</w:t>
      </w:r>
      <w:r w:rsidR="00980449" w:rsidRPr="00980449">
        <w:rPr>
          <w:sz w:val="24"/>
          <w:szCs w:val="24"/>
          <w:lang w:val="ky-KG"/>
        </w:rPr>
        <w:t xml:space="preserve"> ишканаларында (</w:t>
      </w:r>
      <w:r w:rsidR="00980449" w:rsidRPr="00980449">
        <w:rPr>
          <w:bCs/>
          <w:sz w:val="24"/>
          <w:szCs w:val="24"/>
          <w:lang w:val="ky-KG"/>
        </w:rPr>
        <w:t xml:space="preserve">7 863,2 млн. сомго) </w:t>
      </w:r>
      <w:r w:rsidR="00980449" w:rsidRPr="00980449">
        <w:rPr>
          <w:sz w:val="24"/>
          <w:szCs w:val="24"/>
          <w:lang w:val="ky-KG"/>
        </w:rPr>
        <w:t>байкалган.</w:t>
      </w:r>
      <w:r w:rsidRPr="00980449">
        <w:rPr>
          <w:color w:val="000000"/>
          <w:sz w:val="24"/>
          <w:szCs w:val="24"/>
          <w:lang w:val="ky-KG"/>
        </w:rPr>
        <w:t xml:space="preserve"> </w:t>
      </w:r>
      <w:r w:rsidR="00753015" w:rsidRPr="00753015">
        <w:rPr>
          <w:sz w:val="24"/>
          <w:szCs w:val="24"/>
          <w:lang w:val="ky-KG"/>
        </w:rPr>
        <w:t>Ошол эле учурда,</w:t>
      </w:r>
      <w:r w:rsidR="00753015" w:rsidRPr="00753015">
        <w:rPr>
          <w:color w:val="000000"/>
          <w:sz w:val="24"/>
          <w:szCs w:val="24"/>
          <w:lang w:val="ky-KG"/>
        </w:rPr>
        <w:t xml:space="preserve"> кредиттер жана зайымдар боюнча жалпы карыздардын</w:t>
      </w:r>
      <w:r w:rsidR="00753015" w:rsidRPr="00753015">
        <w:rPr>
          <w:sz w:val="24"/>
          <w:szCs w:val="24"/>
          <w:lang w:val="ky-KG"/>
        </w:rPr>
        <w:t xml:space="preserve"> </w:t>
      </w:r>
      <w:r w:rsidR="00753015" w:rsidRPr="00753015">
        <w:rPr>
          <w:color w:val="000000"/>
          <w:sz w:val="24"/>
          <w:szCs w:val="24"/>
          <w:lang w:val="ky-KG"/>
        </w:rPr>
        <w:t>к</w:t>
      </w:r>
      <w:r w:rsidR="00753015" w:rsidRPr="00753015">
        <w:rPr>
          <w:sz w:val="24"/>
          <w:szCs w:val="24"/>
          <w:lang w:val="ky-KG"/>
        </w:rPr>
        <w:t>ө</w:t>
      </w:r>
      <w:r w:rsidR="00753015" w:rsidRPr="00753015">
        <w:rPr>
          <w:color w:val="000000"/>
          <w:sz w:val="24"/>
          <w:szCs w:val="24"/>
          <w:lang w:val="ky-KG"/>
        </w:rPr>
        <w:t>л</w:t>
      </w:r>
      <w:r w:rsidR="00753015" w:rsidRPr="00753015">
        <w:rPr>
          <w:sz w:val="24"/>
          <w:szCs w:val="24"/>
          <w:lang w:val="ky-KG"/>
        </w:rPr>
        <w:t>ө</w:t>
      </w:r>
      <w:r w:rsidR="00753015" w:rsidRPr="00753015">
        <w:rPr>
          <w:color w:val="000000"/>
          <w:sz w:val="24"/>
          <w:szCs w:val="24"/>
          <w:lang w:val="ky-KG"/>
        </w:rPr>
        <w:t>м</w:t>
      </w:r>
      <w:r w:rsidR="00753015" w:rsidRPr="00753015">
        <w:rPr>
          <w:sz w:val="24"/>
          <w:szCs w:val="24"/>
          <w:lang w:val="ky-KG"/>
        </w:rPr>
        <w:t>ү</w:t>
      </w:r>
      <w:r w:rsidR="00753015" w:rsidRPr="00753015">
        <w:rPr>
          <w:color w:val="000000"/>
          <w:sz w:val="24"/>
          <w:szCs w:val="24"/>
          <w:lang w:val="ky-KG"/>
        </w:rPr>
        <w:t>н</w:t>
      </w:r>
      <w:r w:rsidR="00753015" w:rsidRPr="00753015">
        <w:rPr>
          <w:sz w:val="24"/>
          <w:szCs w:val="24"/>
          <w:lang w:val="ky-KG"/>
        </w:rPr>
        <w:t>ү</w:t>
      </w:r>
      <w:r w:rsidR="00753015" w:rsidRPr="00753015">
        <w:rPr>
          <w:color w:val="000000"/>
          <w:sz w:val="24"/>
          <w:szCs w:val="24"/>
          <w:lang w:val="ky-KG"/>
        </w:rPr>
        <w:t>н</w:t>
      </w:r>
      <w:r w:rsidR="00753015" w:rsidRPr="00753015">
        <w:rPr>
          <w:sz w:val="24"/>
          <w:szCs w:val="24"/>
          <w:lang w:val="ky-KG"/>
        </w:rPr>
        <w:t xml:space="preserve"> </w:t>
      </w:r>
      <w:r w:rsidR="00753015" w:rsidRPr="00753015">
        <w:rPr>
          <w:color w:val="000000"/>
          <w:sz w:val="24"/>
          <w:szCs w:val="24"/>
          <w:lang w:val="ky-KG"/>
        </w:rPr>
        <w:t xml:space="preserve">26,8 пайызы (129 070,9 млн. сому) - </w:t>
      </w:r>
      <w:r w:rsidR="00753015" w:rsidRPr="00753015">
        <w:rPr>
          <w:sz w:val="24"/>
          <w:szCs w:val="24"/>
          <w:lang w:val="ky-KG"/>
        </w:rPr>
        <w:t xml:space="preserve">электр энергиясынын өндүрүү </w:t>
      </w:r>
      <w:r w:rsidR="00753015" w:rsidRPr="00753015">
        <w:rPr>
          <w:bCs/>
          <w:sz w:val="24"/>
          <w:szCs w:val="24"/>
          <w:lang w:val="ky-KG"/>
        </w:rPr>
        <w:t>(чыгаруу),</w:t>
      </w:r>
      <w:r w:rsidR="00753015" w:rsidRPr="00753015">
        <w:rPr>
          <w:sz w:val="24"/>
          <w:szCs w:val="24"/>
          <w:lang w:val="ky-KG"/>
        </w:rPr>
        <w:t xml:space="preserve"> аны берүү жана бөлүштүрүү </w:t>
      </w:r>
      <w:r w:rsidR="00753015" w:rsidRPr="00753015">
        <w:rPr>
          <w:bCs/>
          <w:sz w:val="24"/>
          <w:szCs w:val="24"/>
          <w:lang w:val="ky-KG"/>
        </w:rPr>
        <w:t xml:space="preserve">ишканаларына, 15,7 пайызы (75 353,2 млн. сому) - </w:t>
      </w:r>
      <w:r w:rsidR="00753015" w:rsidRPr="00753015">
        <w:rPr>
          <w:sz w:val="24"/>
          <w:szCs w:val="24"/>
          <w:lang w:val="ky-KG"/>
        </w:rPr>
        <w:t xml:space="preserve">кесиптик, илимий жана техникалык (анын ичинде геологиялык чалгындоо) ишмердик уюмдарына </w:t>
      </w:r>
      <w:r w:rsidR="00753015" w:rsidRPr="00753015">
        <w:rPr>
          <w:color w:val="000000"/>
          <w:sz w:val="24"/>
          <w:szCs w:val="24"/>
          <w:lang w:val="ky-KG"/>
        </w:rPr>
        <w:t>туура келди.</w:t>
      </w:r>
    </w:p>
    <w:p w:rsidR="00A62179" w:rsidRPr="00980449" w:rsidRDefault="00A62179" w:rsidP="00980449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980449">
        <w:rPr>
          <w:color w:val="000000"/>
          <w:sz w:val="24"/>
          <w:szCs w:val="24"/>
          <w:lang w:val="ky-KG"/>
        </w:rPr>
        <w:t>20</w:t>
      </w:r>
      <w:r w:rsidR="009139F3" w:rsidRPr="00980449">
        <w:rPr>
          <w:color w:val="000000"/>
          <w:sz w:val="24"/>
          <w:szCs w:val="24"/>
          <w:lang w:val="ky-KG"/>
        </w:rPr>
        <w:t>20</w:t>
      </w:r>
      <w:r w:rsidR="009D5C52" w:rsidRPr="00980449">
        <w:rPr>
          <w:color w:val="000000"/>
          <w:sz w:val="24"/>
          <w:szCs w:val="24"/>
          <w:lang w:val="ky-KG"/>
        </w:rPr>
        <w:t>-жылы</w:t>
      </w:r>
      <w:r w:rsidRPr="00980449">
        <w:rPr>
          <w:color w:val="000000"/>
          <w:sz w:val="24"/>
          <w:szCs w:val="24"/>
          <w:lang w:val="ky-KG"/>
        </w:rPr>
        <w:t xml:space="preserve"> кредиттер жана зайымдар боюнча </w:t>
      </w:r>
      <w:r w:rsidR="00753015" w:rsidRPr="00753015">
        <w:rPr>
          <w:color w:val="000000"/>
          <w:sz w:val="24"/>
          <w:szCs w:val="24"/>
          <w:lang w:val="ky-KG"/>
        </w:rPr>
        <w:t>карыздардын</w:t>
      </w:r>
      <w:r w:rsidR="00753015" w:rsidRPr="00980449">
        <w:rPr>
          <w:color w:val="000000"/>
          <w:sz w:val="24"/>
          <w:szCs w:val="24"/>
          <w:lang w:val="ky-KG"/>
        </w:rPr>
        <w:t xml:space="preserve"> </w:t>
      </w:r>
      <w:r w:rsidRPr="00980449">
        <w:rPr>
          <w:color w:val="000000"/>
          <w:sz w:val="24"/>
          <w:szCs w:val="24"/>
          <w:lang w:val="ky-KG"/>
        </w:rPr>
        <w:t xml:space="preserve">н басымдуу </w:t>
      </w:r>
      <w:r w:rsidR="009D5C52" w:rsidRPr="00980449">
        <w:rPr>
          <w:sz w:val="24"/>
          <w:szCs w:val="24"/>
          <w:lang w:val="ky-KG"/>
        </w:rPr>
        <w:t>көлөмү</w:t>
      </w:r>
      <w:r w:rsidR="009D5C52" w:rsidRPr="00980449">
        <w:rPr>
          <w:color w:val="000000"/>
          <w:sz w:val="24"/>
          <w:szCs w:val="24"/>
          <w:lang w:val="ky-KG"/>
        </w:rPr>
        <w:t xml:space="preserve"> </w:t>
      </w:r>
      <w:r w:rsidR="009139F3" w:rsidRPr="00980449">
        <w:rPr>
          <w:color w:val="000000"/>
          <w:sz w:val="24"/>
          <w:szCs w:val="24"/>
          <w:lang w:val="ky-KG"/>
        </w:rPr>
        <w:t>-</w:t>
      </w:r>
      <w:r w:rsidRPr="00980449">
        <w:rPr>
          <w:color w:val="000000"/>
          <w:sz w:val="24"/>
          <w:szCs w:val="24"/>
          <w:lang w:val="ky-KG"/>
        </w:rPr>
        <w:t xml:space="preserve"> </w:t>
      </w:r>
      <w:r w:rsidR="009139F3" w:rsidRPr="00980449">
        <w:rPr>
          <w:color w:val="000000"/>
          <w:sz w:val="24"/>
          <w:szCs w:val="24"/>
          <w:lang w:val="ky-KG"/>
        </w:rPr>
        <w:t>289 259,3</w:t>
      </w:r>
      <w:r w:rsidRPr="00980449">
        <w:rPr>
          <w:color w:val="000000"/>
          <w:sz w:val="24"/>
          <w:szCs w:val="24"/>
          <w:lang w:val="ky-KG"/>
        </w:rPr>
        <w:t xml:space="preserve"> млн. сом же анын жалпы </w:t>
      </w:r>
      <w:r w:rsidR="009D5C52" w:rsidRPr="00980449">
        <w:rPr>
          <w:color w:val="000000"/>
          <w:sz w:val="24"/>
          <w:szCs w:val="24"/>
          <w:lang w:val="ky-KG"/>
        </w:rPr>
        <w:t>к</w:t>
      </w:r>
      <w:r w:rsidR="009D5C52" w:rsidRPr="00980449">
        <w:rPr>
          <w:sz w:val="24"/>
          <w:szCs w:val="24"/>
          <w:lang w:val="ky-KG"/>
        </w:rPr>
        <w:t>ө</w:t>
      </w:r>
      <w:r w:rsidR="009D5C52" w:rsidRPr="00980449">
        <w:rPr>
          <w:color w:val="000000"/>
          <w:sz w:val="24"/>
          <w:szCs w:val="24"/>
          <w:lang w:val="ky-KG"/>
        </w:rPr>
        <w:t>л</w:t>
      </w:r>
      <w:r w:rsidR="009D5C52" w:rsidRPr="00980449">
        <w:rPr>
          <w:sz w:val="24"/>
          <w:szCs w:val="24"/>
          <w:lang w:val="ky-KG"/>
        </w:rPr>
        <w:t>ө</w:t>
      </w:r>
      <w:r w:rsidR="009D5C52" w:rsidRPr="00980449">
        <w:rPr>
          <w:color w:val="000000"/>
          <w:sz w:val="24"/>
          <w:szCs w:val="24"/>
          <w:lang w:val="ky-KG"/>
        </w:rPr>
        <w:t>м</w:t>
      </w:r>
      <w:r w:rsidR="009D5C52" w:rsidRPr="00980449">
        <w:rPr>
          <w:sz w:val="24"/>
          <w:szCs w:val="24"/>
          <w:lang w:val="ky-KG"/>
        </w:rPr>
        <w:t>ү</w:t>
      </w:r>
      <w:r w:rsidR="009D5C52" w:rsidRPr="00980449">
        <w:rPr>
          <w:color w:val="000000"/>
          <w:sz w:val="24"/>
          <w:szCs w:val="24"/>
          <w:lang w:val="ky-KG"/>
        </w:rPr>
        <w:t>н</w:t>
      </w:r>
      <w:r w:rsidR="009D5C52" w:rsidRPr="00980449">
        <w:rPr>
          <w:sz w:val="24"/>
          <w:szCs w:val="24"/>
          <w:lang w:val="ky-KG"/>
        </w:rPr>
        <w:t>ү</w:t>
      </w:r>
      <w:r w:rsidR="009D5C52" w:rsidRPr="00980449">
        <w:rPr>
          <w:color w:val="000000"/>
          <w:sz w:val="24"/>
          <w:szCs w:val="24"/>
          <w:lang w:val="ky-KG"/>
        </w:rPr>
        <w:t xml:space="preserve">н </w:t>
      </w:r>
      <w:r w:rsidR="009139F3" w:rsidRPr="00980449">
        <w:rPr>
          <w:color w:val="000000"/>
          <w:sz w:val="24"/>
          <w:szCs w:val="24"/>
          <w:lang w:val="ky-KG"/>
        </w:rPr>
        <w:t>60,1</w:t>
      </w:r>
      <w:r w:rsidRPr="00980449">
        <w:rPr>
          <w:color w:val="000000"/>
          <w:sz w:val="24"/>
          <w:szCs w:val="24"/>
          <w:lang w:val="ky-KG"/>
        </w:rPr>
        <w:t xml:space="preserve"> пайызы - КМШдан тышкаркы </w:t>
      </w:r>
      <w:r w:rsidR="009D5C5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лк</w:t>
      </w:r>
      <w:r w:rsidR="009D5C5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л</w:t>
      </w:r>
      <w:r w:rsidR="009D5C5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рд</w:t>
      </w:r>
      <w:r w:rsidR="009D5C5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 xml:space="preserve">н алынган карыздардын эсебинен калыптанган. Республиканын ичиндеги кредиттерге карыздардын жалпы суммасынын </w:t>
      </w:r>
      <w:r w:rsidR="009139F3" w:rsidRPr="00980449">
        <w:rPr>
          <w:color w:val="000000"/>
          <w:sz w:val="24"/>
          <w:szCs w:val="24"/>
          <w:lang w:val="ky-KG"/>
        </w:rPr>
        <w:t>30,0</w:t>
      </w:r>
      <w:r w:rsidRPr="00980449">
        <w:rPr>
          <w:color w:val="000000"/>
          <w:sz w:val="24"/>
          <w:szCs w:val="24"/>
          <w:lang w:val="ky-KG"/>
        </w:rPr>
        <w:t xml:space="preserve"> пайызы (же </w:t>
      </w:r>
      <w:r w:rsidR="009D5C52" w:rsidRPr="00980449">
        <w:rPr>
          <w:color w:val="000000"/>
          <w:sz w:val="24"/>
          <w:szCs w:val="24"/>
          <w:lang w:val="ky-KG"/>
        </w:rPr>
        <w:t>1</w:t>
      </w:r>
      <w:r w:rsidR="009139F3" w:rsidRPr="00980449">
        <w:rPr>
          <w:color w:val="000000"/>
          <w:sz w:val="24"/>
          <w:szCs w:val="24"/>
          <w:lang w:val="ky-KG"/>
        </w:rPr>
        <w:t>44 382,9</w:t>
      </w:r>
      <w:r w:rsidRPr="00980449">
        <w:rPr>
          <w:color w:val="000000"/>
          <w:sz w:val="24"/>
          <w:szCs w:val="24"/>
          <w:lang w:val="ky-KG"/>
        </w:rPr>
        <w:t xml:space="preserve"> млн. сому) туура келген. КМШ </w:t>
      </w:r>
      <w:r w:rsidR="009D5C5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лк</w:t>
      </w:r>
      <w:r w:rsidR="009D5C5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л</w:t>
      </w:r>
      <w:r w:rsidR="009D5C52" w:rsidRPr="00980449">
        <w:rPr>
          <w:sz w:val="24"/>
          <w:szCs w:val="24"/>
          <w:lang w:val="ky-KG"/>
        </w:rPr>
        <w:t>ө</w:t>
      </w:r>
      <w:r w:rsidRPr="00980449">
        <w:rPr>
          <w:color w:val="000000"/>
          <w:sz w:val="24"/>
          <w:szCs w:val="24"/>
          <w:lang w:val="ky-KG"/>
        </w:rPr>
        <w:t>р</w:t>
      </w:r>
      <w:r w:rsidR="009D5C52" w:rsidRPr="00980449">
        <w:rPr>
          <w:sz w:val="24"/>
          <w:szCs w:val="24"/>
          <w:lang w:val="ky-KG"/>
        </w:rPr>
        <w:t>ү</w:t>
      </w:r>
      <w:r w:rsidRPr="00980449">
        <w:rPr>
          <w:color w:val="000000"/>
          <w:sz w:val="24"/>
          <w:szCs w:val="24"/>
          <w:lang w:val="ky-KG"/>
        </w:rPr>
        <w:t>н</w:t>
      </w:r>
      <w:r w:rsidR="009D5C52" w:rsidRPr="00980449">
        <w:rPr>
          <w:sz w:val="24"/>
          <w:szCs w:val="24"/>
          <w:lang w:val="ky-KG"/>
        </w:rPr>
        <w:t>ү</w:t>
      </w:r>
      <w:r w:rsidRPr="00980449">
        <w:rPr>
          <w:color w:val="000000"/>
          <w:sz w:val="24"/>
          <w:szCs w:val="24"/>
          <w:lang w:val="ky-KG"/>
        </w:rPr>
        <w:t>н ичинен негизги кредиторлор Россия (</w:t>
      </w:r>
      <w:r w:rsidR="009139F3" w:rsidRPr="00980449">
        <w:rPr>
          <w:color w:val="000000"/>
          <w:sz w:val="24"/>
          <w:szCs w:val="24"/>
          <w:lang w:val="ky-KG"/>
        </w:rPr>
        <w:t>38 945,2</w:t>
      </w:r>
      <w:r w:rsidRPr="00980449">
        <w:rPr>
          <w:color w:val="000000"/>
          <w:sz w:val="24"/>
          <w:szCs w:val="24"/>
          <w:lang w:val="ky-KG"/>
        </w:rPr>
        <w:t xml:space="preserve"> млн. сому же карыздардын жалпы </w:t>
      </w:r>
      <w:r w:rsidR="009D5C52" w:rsidRPr="00980449">
        <w:rPr>
          <w:color w:val="000000"/>
          <w:sz w:val="24"/>
          <w:szCs w:val="24"/>
          <w:lang w:val="ky-KG"/>
        </w:rPr>
        <w:t>к</w:t>
      </w:r>
      <w:r w:rsidR="009D5C52" w:rsidRPr="00980449">
        <w:rPr>
          <w:sz w:val="24"/>
          <w:szCs w:val="24"/>
          <w:lang w:val="ky-KG"/>
        </w:rPr>
        <w:t>ө</w:t>
      </w:r>
      <w:r w:rsidR="009D5C52" w:rsidRPr="00980449">
        <w:rPr>
          <w:color w:val="000000"/>
          <w:sz w:val="24"/>
          <w:szCs w:val="24"/>
          <w:lang w:val="ky-KG"/>
        </w:rPr>
        <w:t>л</w:t>
      </w:r>
      <w:r w:rsidR="009D5C52" w:rsidRPr="00980449">
        <w:rPr>
          <w:sz w:val="24"/>
          <w:szCs w:val="24"/>
          <w:lang w:val="ky-KG"/>
        </w:rPr>
        <w:t>ө</w:t>
      </w:r>
      <w:r w:rsidR="009D5C52" w:rsidRPr="00980449">
        <w:rPr>
          <w:color w:val="000000"/>
          <w:sz w:val="24"/>
          <w:szCs w:val="24"/>
          <w:lang w:val="ky-KG"/>
        </w:rPr>
        <w:t>м</w:t>
      </w:r>
      <w:r w:rsidR="009D5C52" w:rsidRPr="00980449">
        <w:rPr>
          <w:sz w:val="24"/>
          <w:szCs w:val="24"/>
          <w:lang w:val="ky-KG"/>
        </w:rPr>
        <w:t>ү</w:t>
      </w:r>
      <w:r w:rsidR="009D5C52" w:rsidRPr="00980449">
        <w:rPr>
          <w:color w:val="000000"/>
          <w:sz w:val="24"/>
          <w:szCs w:val="24"/>
          <w:lang w:val="ky-KG"/>
        </w:rPr>
        <w:t>н</w:t>
      </w:r>
      <w:r w:rsidR="009D5C52" w:rsidRPr="00980449">
        <w:rPr>
          <w:sz w:val="24"/>
          <w:szCs w:val="24"/>
          <w:lang w:val="ky-KG"/>
        </w:rPr>
        <w:t>ү</w:t>
      </w:r>
      <w:r w:rsidR="009D5C52" w:rsidRPr="00980449">
        <w:rPr>
          <w:color w:val="000000"/>
          <w:sz w:val="24"/>
          <w:szCs w:val="24"/>
          <w:lang w:val="ky-KG"/>
        </w:rPr>
        <w:t xml:space="preserve">н </w:t>
      </w:r>
      <w:r w:rsidR="009139F3" w:rsidRPr="00980449">
        <w:rPr>
          <w:color w:val="000000"/>
          <w:sz w:val="24"/>
          <w:szCs w:val="24"/>
          <w:lang w:val="ky-KG"/>
        </w:rPr>
        <w:t xml:space="preserve">8,1 </w:t>
      </w:r>
      <w:r w:rsidRPr="00980449">
        <w:rPr>
          <w:color w:val="000000"/>
          <w:sz w:val="24"/>
          <w:szCs w:val="24"/>
          <w:lang w:val="ky-KG"/>
        </w:rPr>
        <w:t>пайызы) жана Казакстан (</w:t>
      </w:r>
      <w:r w:rsidR="009139F3" w:rsidRPr="00980449">
        <w:rPr>
          <w:color w:val="000000"/>
          <w:sz w:val="24"/>
          <w:szCs w:val="24"/>
          <w:lang w:val="ky-KG"/>
        </w:rPr>
        <w:t>8 227,9</w:t>
      </w:r>
      <w:r w:rsidRPr="00980449">
        <w:rPr>
          <w:color w:val="000000"/>
          <w:sz w:val="24"/>
          <w:szCs w:val="24"/>
          <w:lang w:val="ky-KG"/>
        </w:rPr>
        <w:t xml:space="preserve"> млн. сому же </w:t>
      </w:r>
      <w:r w:rsidR="009D5C52" w:rsidRPr="00980449">
        <w:rPr>
          <w:color w:val="000000"/>
          <w:sz w:val="24"/>
          <w:szCs w:val="24"/>
          <w:lang w:val="ky-KG"/>
        </w:rPr>
        <w:t>1,</w:t>
      </w:r>
      <w:r w:rsidR="009139F3" w:rsidRPr="00980449">
        <w:rPr>
          <w:color w:val="000000"/>
          <w:sz w:val="24"/>
          <w:szCs w:val="24"/>
          <w:lang w:val="ky-KG"/>
        </w:rPr>
        <w:t>7</w:t>
      </w:r>
      <w:r w:rsidRPr="00980449">
        <w:rPr>
          <w:color w:val="000000"/>
          <w:sz w:val="24"/>
          <w:szCs w:val="24"/>
          <w:lang w:val="ky-KG"/>
        </w:rPr>
        <w:t xml:space="preserve"> пайызы) бол</w:t>
      </w:r>
      <w:r w:rsidR="00371C60" w:rsidRPr="00980449">
        <w:rPr>
          <w:color w:val="000000"/>
          <w:sz w:val="24"/>
          <w:szCs w:val="24"/>
          <w:lang w:val="ky-KG"/>
        </w:rPr>
        <w:t>уп саналды.</w:t>
      </w:r>
      <w:r w:rsidRPr="00980449">
        <w:rPr>
          <w:color w:val="000000"/>
          <w:sz w:val="24"/>
          <w:szCs w:val="24"/>
          <w:lang w:val="ky-KG"/>
        </w:rPr>
        <w:t xml:space="preserve"> </w:t>
      </w:r>
    </w:p>
    <w:p w:rsidR="00A62179" w:rsidRPr="00980449" w:rsidRDefault="00A62179" w:rsidP="00980449">
      <w:pPr>
        <w:ind w:firstLine="709"/>
        <w:jc w:val="both"/>
        <w:rPr>
          <w:sz w:val="24"/>
          <w:szCs w:val="24"/>
          <w:lang w:val="ky-KG"/>
        </w:rPr>
      </w:pPr>
      <w:r w:rsidRPr="00980449">
        <w:rPr>
          <w:sz w:val="24"/>
          <w:szCs w:val="24"/>
          <w:lang w:val="ky-KG"/>
        </w:rPr>
        <w:t xml:space="preserve">Банктардын </w:t>
      </w:r>
      <w:r w:rsidRPr="00980449">
        <w:rPr>
          <w:color w:val="000000"/>
          <w:sz w:val="24"/>
          <w:szCs w:val="24"/>
          <w:lang w:val="ky-KG"/>
        </w:rPr>
        <w:t xml:space="preserve">кредиттери жана зайымдары боюнча </w:t>
      </w:r>
      <w:r w:rsidR="009D5C52" w:rsidRPr="00980449">
        <w:rPr>
          <w:sz w:val="24"/>
          <w:szCs w:val="24"/>
          <w:lang w:val="ky-KG"/>
        </w:rPr>
        <w:t>мөөнөтү өткөн</w:t>
      </w:r>
      <w:r w:rsidRPr="00980449">
        <w:rPr>
          <w:color w:val="000000"/>
          <w:sz w:val="24"/>
          <w:szCs w:val="24"/>
          <w:lang w:val="ky-KG"/>
        </w:rPr>
        <w:t xml:space="preserve"> карыздар</w:t>
      </w:r>
      <w:r w:rsidRPr="00980449">
        <w:rPr>
          <w:sz w:val="24"/>
          <w:szCs w:val="24"/>
          <w:lang w:val="ky-KG"/>
        </w:rPr>
        <w:t xml:space="preserve"> 20</w:t>
      </w:r>
      <w:r w:rsidR="007A0790" w:rsidRPr="00980449">
        <w:rPr>
          <w:sz w:val="24"/>
          <w:szCs w:val="24"/>
          <w:lang w:val="ky-KG"/>
        </w:rPr>
        <w:t>20</w:t>
      </w:r>
      <w:r w:rsidRPr="00980449">
        <w:rPr>
          <w:sz w:val="24"/>
          <w:szCs w:val="24"/>
          <w:lang w:val="ky-KG"/>
        </w:rPr>
        <w:t>-ж</w:t>
      </w:r>
      <w:r w:rsidR="009D5C52" w:rsidRPr="00980449">
        <w:rPr>
          <w:sz w:val="24"/>
          <w:szCs w:val="24"/>
          <w:lang w:val="ky-KG"/>
        </w:rPr>
        <w:t>ылдын</w:t>
      </w:r>
      <w:r w:rsidRPr="00980449">
        <w:rPr>
          <w:sz w:val="24"/>
          <w:szCs w:val="24"/>
          <w:lang w:val="ky-KG"/>
        </w:rPr>
        <w:t xml:space="preserve"> аягына карата карыздардын </w:t>
      </w:r>
      <w:r w:rsidRPr="00980449">
        <w:rPr>
          <w:color w:val="000000"/>
          <w:sz w:val="24"/>
          <w:szCs w:val="24"/>
          <w:lang w:val="ky-KG"/>
        </w:rPr>
        <w:t xml:space="preserve">жалпы </w:t>
      </w:r>
      <w:r w:rsidR="009D5C52" w:rsidRPr="00980449">
        <w:rPr>
          <w:color w:val="000000"/>
          <w:sz w:val="24"/>
          <w:szCs w:val="24"/>
          <w:lang w:val="ky-KG"/>
        </w:rPr>
        <w:t>к</w:t>
      </w:r>
      <w:r w:rsidR="009D5C52" w:rsidRPr="00980449">
        <w:rPr>
          <w:sz w:val="24"/>
          <w:szCs w:val="24"/>
          <w:lang w:val="ky-KG"/>
        </w:rPr>
        <w:t>ө</w:t>
      </w:r>
      <w:r w:rsidR="009D5C52" w:rsidRPr="00980449">
        <w:rPr>
          <w:color w:val="000000"/>
          <w:sz w:val="24"/>
          <w:szCs w:val="24"/>
          <w:lang w:val="ky-KG"/>
        </w:rPr>
        <w:t>л</w:t>
      </w:r>
      <w:r w:rsidR="009D5C52" w:rsidRPr="00980449">
        <w:rPr>
          <w:sz w:val="24"/>
          <w:szCs w:val="24"/>
          <w:lang w:val="ky-KG"/>
        </w:rPr>
        <w:t>ө</w:t>
      </w:r>
      <w:r w:rsidR="009D5C52" w:rsidRPr="00980449">
        <w:rPr>
          <w:color w:val="000000"/>
          <w:sz w:val="24"/>
          <w:szCs w:val="24"/>
          <w:lang w:val="ky-KG"/>
        </w:rPr>
        <w:t>м</w:t>
      </w:r>
      <w:r w:rsidR="009D5C52" w:rsidRPr="00980449">
        <w:rPr>
          <w:sz w:val="24"/>
          <w:szCs w:val="24"/>
          <w:lang w:val="ky-KG"/>
        </w:rPr>
        <w:t>ү</w:t>
      </w:r>
      <w:r w:rsidR="009D5C52" w:rsidRPr="00980449">
        <w:rPr>
          <w:color w:val="000000"/>
          <w:sz w:val="24"/>
          <w:szCs w:val="24"/>
          <w:lang w:val="ky-KG"/>
        </w:rPr>
        <w:t>н</w:t>
      </w:r>
      <w:r w:rsidR="009D5C52" w:rsidRPr="00980449">
        <w:rPr>
          <w:sz w:val="24"/>
          <w:szCs w:val="24"/>
          <w:lang w:val="ky-KG"/>
        </w:rPr>
        <w:t>ү</w:t>
      </w:r>
      <w:r w:rsidR="009D5C52" w:rsidRPr="00980449">
        <w:rPr>
          <w:color w:val="000000"/>
          <w:sz w:val="24"/>
          <w:szCs w:val="24"/>
          <w:lang w:val="ky-KG"/>
        </w:rPr>
        <w:t xml:space="preserve">н </w:t>
      </w:r>
      <w:r w:rsidRPr="00980449">
        <w:rPr>
          <w:color w:val="000000"/>
          <w:sz w:val="24"/>
          <w:szCs w:val="24"/>
          <w:lang w:val="ky-KG"/>
        </w:rPr>
        <w:t xml:space="preserve">0,8 пайызын же </w:t>
      </w:r>
      <w:r w:rsidR="009D5C52" w:rsidRPr="00980449">
        <w:rPr>
          <w:color w:val="000000"/>
          <w:sz w:val="24"/>
          <w:szCs w:val="24"/>
          <w:lang w:val="ky-KG"/>
        </w:rPr>
        <w:t>3</w:t>
      </w:r>
      <w:r w:rsidR="007A0790" w:rsidRPr="00980449">
        <w:rPr>
          <w:color w:val="000000"/>
          <w:sz w:val="24"/>
          <w:szCs w:val="24"/>
          <w:lang w:val="ky-KG"/>
        </w:rPr>
        <w:t> 857,7</w:t>
      </w:r>
      <w:r w:rsidRPr="00980449">
        <w:rPr>
          <w:color w:val="000000"/>
          <w:sz w:val="24"/>
          <w:szCs w:val="24"/>
          <w:lang w:val="ky-KG"/>
        </w:rPr>
        <w:t xml:space="preserve"> млн. сомун т</w:t>
      </w:r>
      <w:r w:rsidR="009D5C52" w:rsidRPr="00980449">
        <w:rPr>
          <w:sz w:val="24"/>
          <w:szCs w:val="24"/>
          <w:lang w:val="ky-KG"/>
        </w:rPr>
        <w:t>ү</w:t>
      </w:r>
      <w:r w:rsidRPr="00980449">
        <w:rPr>
          <w:color w:val="000000"/>
          <w:sz w:val="24"/>
          <w:szCs w:val="24"/>
          <w:lang w:val="ky-KG"/>
        </w:rPr>
        <w:t>з</w:t>
      </w:r>
      <w:r w:rsidR="009D5C52" w:rsidRPr="00980449">
        <w:rPr>
          <w:color w:val="000000"/>
          <w:sz w:val="24"/>
          <w:szCs w:val="24"/>
          <w:lang w:val="ky-KG"/>
        </w:rPr>
        <w:t>д</w:t>
      </w:r>
      <w:r w:rsidR="009D5C52" w:rsidRPr="00980449">
        <w:rPr>
          <w:sz w:val="24"/>
          <w:szCs w:val="24"/>
          <w:lang w:val="ky-KG"/>
        </w:rPr>
        <w:t>ү</w:t>
      </w:r>
      <w:r w:rsidR="009D5C52" w:rsidRPr="00980449">
        <w:rPr>
          <w:color w:val="000000"/>
          <w:sz w:val="24"/>
          <w:szCs w:val="24"/>
          <w:lang w:val="ky-KG"/>
        </w:rPr>
        <w:t>.</w:t>
      </w:r>
      <w:r w:rsidRPr="00980449">
        <w:rPr>
          <w:color w:val="000000"/>
          <w:sz w:val="24"/>
          <w:szCs w:val="24"/>
          <w:lang w:val="ky-KG"/>
        </w:rPr>
        <w:t xml:space="preserve"> 201</w:t>
      </w:r>
      <w:r w:rsidR="007A0790" w:rsidRPr="00980449">
        <w:rPr>
          <w:color w:val="000000"/>
          <w:sz w:val="24"/>
          <w:szCs w:val="24"/>
          <w:lang w:val="ky-KG"/>
        </w:rPr>
        <w:t>9</w:t>
      </w:r>
      <w:r w:rsidRPr="00980449">
        <w:rPr>
          <w:color w:val="000000"/>
          <w:sz w:val="24"/>
          <w:szCs w:val="24"/>
          <w:lang w:val="ky-KG"/>
        </w:rPr>
        <w:t>-ж</w:t>
      </w:r>
      <w:r w:rsidR="008C6247" w:rsidRPr="00980449">
        <w:rPr>
          <w:color w:val="000000"/>
          <w:sz w:val="24"/>
          <w:szCs w:val="24"/>
          <w:lang w:val="ky-KG"/>
        </w:rPr>
        <w:t>ылга</w:t>
      </w:r>
      <w:r w:rsidRPr="00980449">
        <w:rPr>
          <w:color w:val="000000"/>
          <w:sz w:val="24"/>
          <w:szCs w:val="24"/>
          <w:lang w:val="ky-KG"/>
        </w:rPr>
        <w:t xml:space="preserve"> салыштырганда </w:t>
      </w:r>
      <w:r w:rsidR="008C6247" w:rsidRPr="00980449">
        <w:rPr>
          <w:color w:val="000000"/>
          <w:sz w:val="24"/>
          <w:szCs w:val="24"/>
          <w:lang w:val="ky-KG"/>
        </w:rPr>
        <w:t xml:space="preserve">анын суммасы </w:t>
      </w:r>
      <w:r w:rsidR="007A0790" w:rsidRPr="00980449">
        <w:rPr>
          <w:color w:val="000000"/>
          <w:sz w:val="24"/>
          <w:szCs w:val="24"/>
          <w:lang w:val="ky-KG"/>
        </w:rPr>
        <w:t>12,7</w:t>
      </w:r>
      <w:r w:rsidRPr="00980449">
        <w:rPr>
          <w:color w:val="000000"/>
          <w:sz w:val="24"/>
          <w:szCs w:val="24"/>
          <w:lang w:val="ky-KG"/>
        </w:rPr>
        <w:t xml:space="preserve"> пайызга (</w:t>
      </w:r>
      <w:r w:rsidR="008C6247" w:rsidRPr="00980449">
        <w:rPr>
          <w:color w:val="000000"/>
          <w:sz w:val="24"/>
          <w:szCs w:val="24"/>
          <w:lang w:val="ky-KG"/>
        </w:rPr>
        <w:t xml:space="preserve">же </w:t>
      </w:r>
      <w:r w:rsidR="007A0790" w:rsidRPr="00980449">
        <w:rPr>
          <w:color w:val="000000"/>
          <w:sz w:val="24"/>
          <w:szCs w:val="24"/>
          <w:lang w:val="ky-KG"/>
        </w:rPr>
        <w:t>433,8</w:t>
      </w:r>
      <w:r w:rsidR="00607763" w:rsidRPr="00980449">
        <w:rPr>
          <w:color w:val="000000"/>
          <w:sz w:val="24"/>
          <w:szCs w:val="24"/>
          <w:lang w:val="ky-KG"/>
        </w:rPr>
        <w:t xml:space="preserve"> </w:t>
      </w:r>
      <w:r w:rsidRPr="00980449">
        <w:rPr>
          <w:color w:val="000000"/>
          <w:sz w:val="24"/>
          <w:szCs w:val="24"/>
          <w:lang w:val="ky-KG"/>
        </w:rPr>
        <w:t>млн. сомго)</w:t>
      </w:r>
      <w:r w:rsidR="008C6247" w:rsidRPr="00980449">
        <w:rPr>
          <w:sz w:val="24"/>
          <w:szCs w:val="24"/>
          <w:lang w:val="ky-KG"/>
        </w:rPr>
        <w:t xml:space="preserve"> </w:t>
      </w:r>
      <w:r w:rsidR="00371C60" w:rsidRPr="00980449">
        <w:rPr>
          <w:sz w:val="24"/>
          <w:szCs w:val="24"/>
          <w:lang w:val="ky-KG"/>
        </w:rPr>
        <w:t xml:space="preserve">көбөйдү, </w:t>
      </w:r>
      <w:r w:rsidRPr="00980449">
        <w:rPr>
          <w:color w:val="000000"/>
          <w:sz w:val="24"/>
          <w:szCs w:val="24"/>
          <w:lang w:val="ky-KG"/>
        </w:rPr>
        <w:lastRenderedPageBreak/>
        <w:t>ал эми 201</w:t>
      </w:r>
      <w:r w:rsidR="007A0790" w:rsidRPr="00980449">
        <w:rPr>
          <w:color w:val="000000"/>
          <w:sz w:val="24"/>
          <w:szCs w:val="24"/>
          <w:lang w:val="ky-KG"/>
        </w:rPr>
        <w:t>6</w:t>
      </w:r>
      <w:r w:rsidR="008C6247" w:rsidRPr="00980449">
        <w:rPr>
          <w:color w:val="000000"/>
          <w:sz w:val="24"/>
          <w:szCs w:val="24"/>
          <w:lang w:val="ky-KG"/>
        </w:rPr>
        <w:t>-жылга салыштырмалуу</w:t>
      </w:r>
      <w:r w:rsidR="00371C60" w:rsidRPr="00980449">
        <w:rPr>
          <w:color w:val="000000"/>
          <w:sz w:val="24"/>
          <w:szCs w:val="24"/>
          <w:lang w:val="ky-KG"/>
        </w:rPr>
        <w:t>,</w:t>
      </w:r>
      <w:r w:rsidR="008C6247" w:rsidRPr="00980449">
        <w:rPr>
          <w:color w:val="000000"/>
          <w:sz w:val="24"/>
          <w:szCs w:val="24"/>
          <w:lang w:val="ky-KG"/>
        </w:rPr>
        <w:t xml:space="preserve"> тескерисинче</w:t>
      </w:r>
      <w:r w:rsidR="00371C60" w:rsidRPr="00980449">
        <w:rPr>
          <w:color w:val="000000"/>
          <w:sz w:val="24"/>
          <w:szCs w:val="24"/>
          <w:lang w:val="ky-KG"/>
        </w:rPr>
        <w:t>,</w:t>
      </w:r>
      <w:r w:rsidR="008C6247" w:rsidRPr="00980449">
        <w:rPr>
          <w:color w:val="000000"/>
          <w:sz w:val="24"/>
          <w:szCs w:val="24"/>
          <w:lang w:val="ky-KG"/>
        </w:rPr>
        <w:t xml:space="preserve"> </w:t>
      </w:r>
      <w:r w:rsidR="007A0790" w:rsidRPr="00980449">
        <w:rPr>
          <w:sz w:val="24"/>
          <w:szCs w:val="24"/>
          <w:lang w:val="ky-KG"/>
        </w:rPr>
        <w:t xml:space="preserve">36,7 </w:t>
      </w:r>
      <w:r w:rsidR="007A0790" w:rsidRPr="00980449">
        <w:rPr>
          <w:color w:val="000000"/>
          <w:sz w:val="24"/>
          <w:szCs w:val="24"/>
          <w:lang w:val="ky-KG"/>
        </w:rPr>
        <w:t>пайызга</w:t>
      </w:r>
      <w:r w:rsidRPr="00980449">
        <w:rPr>
          <w:sz w:val="24"/>
          <w:szCs w:val="24"/>
          <w:lang w:val="ky-KG"/>
        </w:rPr>
        <w:t xml:space="preserve"> </w:t>
      </w:r>
      <w:r w:rsidRPr="00980449">
        <w:rPr>
          <w:color w:val="000000"/>
          <w:sz w:val="24"/>
          <w:szCs w:val="24"/>
          <w:lang w:val="ky-KG"/>
        </w:rPr>
        <w:t>(</w:t>
      </w:r>
      <w:r w:rsidR="008C6247" w:rsidRPr="00980449">
        <w:rPr>
          <w:color w:val="000000"/>
          <w:sz w:val="24"/>
          <w:szCs w:val="24"/>
          <w:lang w:val="ky-KG"/>
        </w:rPr>
        <w:t xml:space="preserve">же </w:t>
      </w:r>
      <w:r w:rsidR="007A0790" w:rsidRPr="00980449">
        <w:rPr>
          <w:color w:val="000000"/>
          <w:sz w:val="24"/>
          <w:szCs w:val="24"/>
          <w:lang w:val="ky-KG"/>
        </w:rPr>
        <w:t>2 234,7</w:t>
      </w:r>
      <w:r w:rsidRPr="00980449">
        <w:rPr>
          <w:color w:val="000000"/>
          <w:sz w:val="24"/>
          <w:szCs w:val="24"/>
          <w:lang w:val="ky-KG"/>
        </w:rPr>
        <w:t xml:space="preserve"> млн. сомго</w:t>
      </w:r>
      <w:r w:rsidRPr="00980449">
        <w:rPr>
          <w:sz w:val="24"/>
          <w:szCs w:val="24"/>
          <w:lang w:val="ky-KG"/>
        </w:rPr>
        <w:t>) кыскарды.</w:t>
      </w:r>
    </w:p>
    <w:p w:rsidR="00A62179" w:rsidRPr="00980449" w:rsidRDefault="00A62179" w:rsidP="00980449">
      <w:pPr>
        <w:ind w:firstLine="709"/>
        <w:jc w:val="both"/>
        <w:rPr>
          <w:sz w:val="24"/>
          <w:szCs w:val="24"/>
          <w:lang w:val="ky-KG"/>
        </w:rPr>
      </w:pPr>
      <w:r w:rsidRPr="00753015">
        <w:rPr>
          <w:sz w:val="24"/>
          <w:szCs w:val="24"/>
          <w:lang w:val="ky-KG"/>
        </w:rPr>
        <w:t>20</w:t>
      </w:r>
      <w:r w:rsidR="003F63B4" w:rsidRPr="00753015">
        <w:rPr>
          <w:sz w:val="24"/>
          <w:szCs w:val="24"/>
          <w:lang w:val="ky-KG"/>
        </w:rPr>
        <w:t>20</w:t>
      </w:r>
      <w:r w:rsidR="008C6247" w:rsidRPr="00753015">
        <w:rPr>
          <w:sz w:val="24"/>
          <w:szCs w:val="24"/>
          <w:lang w:val="ky-KG"/>
        </w:rPr>
        <w:t>-жылы</w:t>
      </w:r>
      <w:r w:rsidRPr="00753015">
        <w:rPr>
          <w:sz w:val="24"/>
          <w:szCs w:val="24"/>
          <w:lang w:val="ky-KG"/>
        </w:rPr>
        <w:t xml:space="preserve"> </w:t>
      </w:r>
      <w:r w:rsidR="008C6247" w:rsidRPr="00753015">
        <w:rPr>
          <w:sz w:val="24"/>
          <w:szCs w:val="24"/>
          <w:lang w:val="ky-KG"/>
        </w:rPr>
        <w:t xml:space="preserve">банктардын </w:t>
      </w:r>
      <w:r w:rsidR="008C6247" w:rsidRPr="00753015">
        <w:rPr>
          <w:color w:val="000000"/>
          <w:sz w:val="24"/>
          <w:szCs w:val="24"/>
          <w:lang w:val="ky-KG"/>
        </w:rPr>
        <w:t xml:space="preserve">кредиттери жана зайымдары боюнча </w:t>
      </w:r>
      <w:r w:rsidR="008C6247" w:rsidRPr="00753015">
        <w:rPr>
          <w:sz w:val="24"/>
          <w:szCs w:val="24"/>
          <w:lang w:val="ky-KG"/>
        </w:rPr>
        <w:t>мөөнөтү өткөн</w:t>
      </w:r>
      <w:r w:rsidR="008C6247" w:rsidRPr="00753015">
        <w:rPr>
          <w:color w:val="000000"/>
          <w:sz w:val="24"/>
          <w:szCs w:val="24"/>
          <w:lang w:val="ky-KG"/>
        </w:rPr>
        <w:t xml:space="preserve"> карыздардын к</w:t>
      </w:r>
      <w:r w:rsidR="008C6247" w:rsidRPr="00753015">
        <w:rPr>
          <w:sz w:val="24"/>
          <w:szCs w:val="24"/>
          <w:lang w:val="ky-KG"/>
        </w:rPr>
        <w:t>ө</w:t>
      </w:r>
      <w:r w:rsidR="008C6247" w:rsidRPr="00753015">
        <w:rPr>
          <w:color w:val="000000"/>
          <w:sz w:val="24"/>
          <w:szCs w:val="24"/>
          <w:lang w:val="ky-KG"/>
        </w:rPr>
        <w:t>л</w:t>
      </w:r>
      <w:r w:rsidR="008C6247" w:rsidRPr="00753015">
        <w:rPr>
          <w:sz w:val="24"/>
          <w:szCs w:val="24"/>
          <w:lang w:val="ky-KG"/>
        </w:rPr>
        <w:t>ө</w:t>
      </w:r>
      <w:r w:rsidR="008C6247" w:rsidRPr="00753015">
        <w:rPr>
          <w:color w:val="000000"/>
          <w:sz w:val="24"/>
          <w:szCs w:val="24"/>
          <w:lang w:val="ky-KG"/>
        </w:rPr>
        <w:t>м</w:t>
      </w:r>
      <w:r w:rsidR="008C6247" w:rsidRPr="00753015">
        <w:rPr>
          <w:sz w:val="24"/>
          <w:szCs w:val="24"/>
          <w:lang w:val="ky-KG"/>
        </w:rPr>
        <w:t>ү</w:t>
      </w:r>
      <w:r w:rsidR="008C6247" w:rsidRPr="00753015">
        <w:rPr>
          <w:color w:val="000000"/>
          <w:sz w:val="24"/>
          <w:szCs w:val="24"/>
          <w:lang w:val="ky-KG"/>
        </w:rPr>
        <w:t>н</w:t>
      </w:r>
      <w:r w:rsidR="008C6247" w:rsidRPr="00753015">
        <w:rPr>
          <w:sz w:val="24"/>
          <w:szCs w:val="24"/>
          <w:lang w:val="ky-KG"/>
        </w:rPr>
        <w:t>ү</w:t>
      </w:r>
      <w:r w:rsidR="008C6247" w:rsidRPr="00753015">
        <w:rPr>
          <w:color w:val="000000"/>
          <w:sz w:val="24"/>
          <w:szCs w:val="24"/>
          <w:lang w:val="ky-KG"/>
        </w:rPr>
        <w:t xml:space="preserve">н </w:t>
      </w:r>
      <w:r w:rsidR="0042578F" w:rsidRPr="00753015">
        <w:rPr>
          <w:color w:val="000000"/>
          <w:sz w:val="24"/>
          <w:szCs w:val="24"/>
          <w:lang w:val="ky-KG"/>
        </w:rPr>
        <w:t>22,5</w:t>
      </w:r>
      <w:r w:rsidR="008C6247" w:rsidRPr="00753015">
        <w:rPr>
          <w:color w:val="000000"/>
          <w:sz w:val="24"/>
          <w:szCs w:val="24"/>
          <w:lang w:val="ky-KG"/>
        </w:rPr>
        <w:t xml:space="preserve"> пайызы</w:t>
      </w:r>
      <w:r w:rsidR="008C6247" w:rsidRPr="00753015">
        <w:rPr>
          <w:sz w:val="24"/>
          <w:szCs w:val="24"/>
          <w:lang w:val="ky-KG"/>
        </w:rPr>
        <w:t xml:space="preserve"> </w:t>
      </w:r>
      <w:r w:rsidRPr="00753015">
        <w:rPr>
          <w:sz w:val="24"/>
          <w:szCs w:val="24"/>
          <w:lang w:val="ky-KG"/>
        </w:rPr>
        <w:t>кесиптик, илимий жана техникалык (анын ичинде геологиялык чалгындоо)</w:t>
      </w:r>
      <w:r w:rsidR="004C6DCE" w:rsidRPr="00753015">
        <w:rPr>
          <w:sz w:val="24"/>
          <w:szCs w:val="24"/>
          <w:lang w:val="ky-KG"/>
        </w:rPr>
        <w:t xml:space="preserve"> ишмердиктери</w:t>
      </w:r>
      <w:r w:rsidRPr="00753015">
        <w:rPr>
          <w:sz w:val="24"/>
          <w:szCs w:val="24"/>
          <w:lang w:val="ky-KG"/>
        </w:rPr>
        <w:t xml:space="preserve">, </w:t>
      </w:r>
      <w:r w:rsidR="008C6247" w:rsidRPr="00753015">
        <w:rPr>
          <w:sz w:val="24"/>
          <w:szCs w:val="24"/>
          <w:lang w:val="ky-KG"/>
        </w:rPr>
        <w:t>2</w:t>
      </w:r>
      <w:r w:rsidR="0042578F" w:rsidRPr="00753015">
        <w:rPr>
          <w:sz w:val="24"/>
          <w:szCs w:val="24"/>
          <w:lang w:val="ky-KG"/>
        </w:rPr>
        <w:t>2</w:t>
      </w:r>
      <w:r w:rsidR="008C6247" w:rsidRPr="00753015">
        <w:rPr>
          <w:sz w:val="24"/>
          <w:szCs w:val="24"/>
          <w:lang w:val="ky-KG"/>
        </w:rPr>
        <w:t xml:space="preserve">,8 пайызы - </w:t>
      </w:r>
      <w:r w:rsidRPr="00753015">
        <w:rPr>
          <w:sz w:val="24"/>
          <w:szCs w:val="24"/>
          <w:lang w:val="ky-KG"/>
        </w:rPr>
        <w:t>кыймылсыз м</w:t>
      </w:r>
      <w:r w:rsidR="008C6247" w:rsidRPr="00753015">
        <w:rPr>
          <w:sz w:val="24"/>
          <w:szCs w:val="24"/>
          <w:lang w:val="ky-KG"/>
        </w:rPr>
        <w:t>ү</w:t>
      </w:r>
      <w:r w:rsidRPr="00753015">
        <w:rPr>
          <w:sz w:val="24"/>
          <w:szCs w:val="24"/>
          <w:lang w:val="ky-KG"/>
        </w:rPr>
        <w:t xml:space="preserve">лк менен </w:t>
      </w:r>
      <w:r w:rsidR="00371C60" w:rsidRPr="00753015">
        <w:rPr>
          <w:sz w:val="24"/>
          <w:szCs w:val="24"/>
          <w:lang w:val="ky-KG"/>
        </w:rPr>
        <w:t xml:space="preserve">болгон </w:t>
      </w:r>
      <w:r w:rsidRPr="00753015">
        <w:rPr>
          <w:sz w:val="24"/>
          <w:szCs w:val="24"/>
          <w:lang w:val="ky-KG"/>
        </w:rPr>
        <w:t xml:space="preserve">операциялар боюнча </w:t>
      </w:r>
      <w:r w:rsidR="00753015" w:rsidRPr="00753015">
        <w:rPr>
          <w:sz w:val="24"/>
          <w:szCs w:val="24"/>
          <w:lang w:val="ky-KG"/>
        </w:rPr>
        <w:t>уюмдары</w:t>
      </w:r>
      <w:r w:rsidRPr="00753015">
        <w:rPr>
          <w:sz w:val="24"/>
          <w:szCs w:val="24"/>
          <w:lang w:val="ky-KG"/>
        </w:rPr>
        <w:t xml:space="preserve"> тарабынан </w:t>
      </w:r>
      <w:r w:rsidR="00371C60" w:rsidRPr="00753015">
        <w:rPr>
          <w:sz w:val="24"/>
          <w:szCs w:val="24"/>
          <w:lang w:val="ky-KG"/>
        </w:rPr>
        <w:t>жол бер</w:t>
      </w:r>
      <w:r w:rsidR="00076568" w:rsidRPr="00753015">
        <w:rPr>
          <w:sz w:val="24"/>
          <w:szCs w:val="24"/>
          <w:lang w:val="ky-KG"/>
        </w:rPr>
        <w:t>илген</w:t>
      </w:r>
      <w:r w:rsidRPr="00753015">
        <w:rPr>
          <w:sz w:val="24"/>
          <w:szCs w:val="24"/>
          <w:lang w:val="ky-KG"/>
        </w:rPr>
        <w:t>.</w:t>
      </w:r>
    </w:p>
    <w:p w:rsidR="005E7D20" w:rsidRPr="00980449" w:rsidRDefault="005E7D20" w:rsidP="00D66C4A">
      <w:pPr>
        <w:ind w:firstLine="720"/>
        <w:jc w:val="both"/>
        <w:rPr>
          <w:sz w:val="24"/>
          <w:szCs w:val="24"/>
          <w:lang w:val="ky-KG"/>
        </w:rPr>
      </w:pPr>
    </w:p>
    <w:p w:rsidR="006D1D89" w:rsidRPr="00980449" w:rsidRDefault="006D1D89" w:rsidP="00D66C4A">
      <w:pPr>
        <w:ind w:firstLine="720"/>
        <w:jc w:val="both"/>
        <w:rPr>
          <w:sz w:val="24"/>
          <w:szCs w:val="24"/>
          <w:lang w:val="ky-KG"/>
        </w:rPr>
      </w:pPr>
    </w:p>
    <w:p w:rsidR="006D1D89" w:rsidRPr="00980449" w:rsidRDefault="006D1D89" w:rsidP="00D66C4A">
      <w:pPr>
        <w:ind w:firstLine="720"/>
        <w:jc w:val="both"/>
        <w:rPr>
          <w:sz w:val="24"/>
          <w:szCs w:val="24"/>
          <w:lang w:val="ky-KG"/>
        </w:rPr>
      </w:pPr>
    </w:p>
    <w:p w:rsidR="006D1D89" w:rsidRPr="00980449" w:rsidRDefault="006D1D89" w:rsidP="00D66C4A">
      <w:pPr>
        <w:ind w:firstLine="720"/>
        <w:jc w:val="both"/>
        <w:rPr>
          <w:sz w:val="24"/>
          <w:szCs w:val="24"/>
          <w:lang w:val="ky-KG"/>
        </w:rPr>
      </w:pPr>
    </w:p>
    <w:p w:rsidR="006D1D89" w:rsidRPr="00980449" w:rsidRDefault="006D1D89" w:rsidP="006D1D89">
      <w:pPr>
        <w:pBdr>
          <w:top w:val="single" w:sz="4" w:space="1" w:color="auto"/>
        </w:pBdr>
      </w:pPr>
      <w:r w:rsidRPr="00980449">
        <w:rPr>
          <w:lang w:val="ky-KG"/>
        </w:rPr>
        <w:t>Ф</w:t>
      </w:r>
      <w:r w:rsidRPr="00980449">
        <w:t>инанс</w:t>
      </w:r>
      <w:r w:rsidRPr="00980449">
        <w:rPr>
          <w:lang w:val="ky-KG"/>
        </w:rPr>
        <w:t>ы статистикасы бөлүмү</w:t>
      </w:r>
      <w:r w:rsidRPr="00980449">
        <w:t xml:space="preserve">        </w:t>
      </w:r>
      <w:r w:rsidR="00D66C4A" w:rsidRPr="00980449">
        <w:t xml:space="preserve">   </w:t>
      </w:r>
      <w:r w:rsidRPr="00980449">
        <w:t xml:space="preserve">          |e-mail: </w:t>
      </w:r>
      <w:r w:rsidRPr="00980449">
        <w:rPr>
          <w:lang w:val="en-US"/>
        </w:rPr>
        <w:t>m</w:t>
      </w:r>
      <w:r w:rsidRPr="00980449">
        <w:t>.</w:t>
      </w:r>
      <w:r w:rsidRPr="00980449">
        <w:rPr>
          <w:lang w:val="en-US"/>
        </w:rPr>
        <w:t>abdukadirova</w:t>
      </w:r>
      <w:r w:rsidRPr="00980449">
        <w:t xml:space="preserve">@stat.kg;      </w:t>
      </w:r>
      <w:r w:rsidR="00D66C4A" w:rsidRPr="00980449">
        <w:t xml:space="preserve">     </w:t>
      </w:r>
      <w:r w:rsidRPr="00980449">
        <w:t xml:space="preserve">     |тел. + 996 (312)  625591</w:t>
      </w:r>
    </w:p>
    <w:p w:rsidR="001E0281" w:rsidRPr="00D738C5" w:rsidRDefault="001E0281" w:rsidP="001E0281">
      <w:pPr>
        <w:spacing w:before="120"/>
        <w:jc w:val="both"/>
        <w:rPr>
          <w:lang w:val="ky-KG"/>
        </w:rPr>
      </w:pPr>
      <w:r w:rsidRPr="00D738C5">
        <w:rPr>
          <w:lang w:val="ky-KG"/>
        </w:rPr>
        <w:t>Пайдалануучулар расмий статистиканын маалыматтарын жана тиешелүү метамаалыматтарды пайдаланууда алардын булагына шилтеме көрсөтүүгө милдеттүү (“Расмий статистика жөнүндө” Кыргыз Республикасынын Мыйзамынын 30-беренеси).</w:t>
      </w:r>
    </w:p>
    <w:p w:rsidR="001E0281" w:rsidRPr="00D738C5" w:rsidRDefault="001E0281" w:rsidP="001E0281">
      <w:pPr>
        <w:ind w:firstLine="709"/>
        <w:jc w:val="both"/>
        <w:rPr>
          <w:lang w:val="ky-KG"/>
        </w:rPr>
      </w:pPr>
    </w:p>
    <w:p w:rsidR="006D1D89" w:rsidRPr="00076568" w:rsidRDefault="001E0281" w:rsidP="00D738C5">
      <w:pPr>
        <w:jc w:val="both"/>
        <w:rPr>
          <w:sz w:val="24"/>
          <w:szCs w:val="24"/>
          <w:lang w:val="ky-KG"/>
        </w:rPr>
      </w:pPr>
      <w:r w:rsidRPr="00D738C5">
        <w:rPr>
          <w:lang w:val="ky-KG"/>
        </w:rPr>
        <w:t>2021-жылдын 27-июл</w:t>
      </w:r>
      <w:r w:rsidR="00753015">
        <w:rPr>
          <w:lang w:val="ky-KG"/>
        </w:rPr>
        <w:t>у</w:t>
      </w:r>
    </w:p>
    <w:sectPr w:rsidR="006D1D89" w:rsidRPr="00076568" w:rsidSect="00123D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26" w:rsidRDefault="00F95226" w:rsidP="00A62179">
      <w:r>
        <w:separator/>
      </w:r>
    </w:p>
  </w:endnote>
  <w:endnote w:type="continuationSeparator" w:id="0">
    <w:p w:rsidR="00F95226" w:rsidRDefault="00F95226" w:rsidP="00A6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26" w:rsidRDefault="00F95226" w:rsidP="00A62179">
      <w:r>
        <w:separator/>
      </w:r>
    </w:p>
  </w:footnote>
  <w:footnote w:type="continuationSeparator" w:id="0">
    <w:p w:rsidR="00F95226" w:rsidRDefault="00F95226" w:rsidP="00A6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47A77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8C928C0"/>
    <w:multiLevelType w:val="singleLevel"/>
    <w:tmpl w:val="2C4EF5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1809A5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18757D15"/>
    <w:multiLevelType w:val="singleLevel"/>
    <w:tmpl w:val="E3747152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 w15:restartNumberingAfterBreak="0">
    <w:nsid w:val="23C2760C"/>
    <w:multiLevelType w:val="singleLevel"/>
    <w:tmpl w:val="16E2386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2A040E90"/>
    <w:multiLevelType w:val="singleLevel"/>
    <w:tmpl w:val="A7781154"/>
    <w:lvl w:ilvl="0"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hint="default"/>
      </w:rPr>
    </w:lvl>
  </w:abstractNum>
  <w:abstractNum w:abstractNumId="7" w15:restartNumberingAfterBreak="0">
    <w:nsid w:val="2D750E0A"/>
    <w:multiLevelType w:val="singleLevel"/>
    <w:tmpl w:val="9D7C43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E507C70"/>
    <w:multiLevelType w:val="singleLevel"/>
    <w:tmpl w:val="317230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FF5064A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0" w15:restartNumberingAfterBreak="0">
    <w:nsid w:val="341E2774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 w15:restartNumberingAfterBreak="0">
    <w:nsid w:val="37213037"/>
    <w:multiLevelType w:val="singleLevel"/>
    <w:tmpl w:val="DCDC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9517F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86221ED"/>
    <w:multiLevelType w:val="hybridMultilevel"/>
    <w:tmpl w:val="8ACE67C2"/>
    <w:lvl w:ilvl="0" w:tplc="4C142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10D22"/>
    <w:multiLevelType w:val="singleLevel"/>
    <w:tmpl w:val="E85A6E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700765"/>
    <w:multiLevelType w:val="hybridMultilevel"/>
    <w:tmpl w:val="C94CE05C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D183807"/>
    <w:multiLevelType w:val="singleLevel"/>
    <w:tmpl w:val="4BDC9FF8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 w15:restartNumberingAfterBreak="0">
    <w:nsid w:val="5DBA660D"/>
    <w:multiLevelType w:val="singleLevel"/>
    <w:tmpl w:val="82F456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60557953"/>
    <w:multiLevelType w:val="hybridMultilevel"/>
    <w:tmpl w:val="C64C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311606"/>
    <w:multiLevelType w:val="hybridMultilevel"/>
    <w:tmpl w:val="474CAAA6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85D06C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9C20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495352"/>
    <w:multiLevelType w:val="singleLevel"/>
    <w:tmpl w:val="35626F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26115C"/>
    <w:multiLevelType w:val="multilevel"/>
    <w:tmpl w:val="78CCB7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587076A"/>
    <w:multiLevelType w:val="hybridMultilevel"/>
    <w:tmpl w:val="A3FA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B01C8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7" w15:restartNumberingAfterBreak="0">
    <w:nsid w:val="7E9E4CA7"/>
    <w:multiLevelType w:val="singleLevel"/>
    <w:tmpl w:val="CE22716E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7EAC566D"/>
    <w:multiLevelType w:val="hybridMultilevel"/>
    <w:tmpl w:val="9A3EA40E"/>
    <w:lvl w:ilvl="0" w:tplc="4C142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4"/>
  </w:num>
  <w:num w:numId="5">
    <w:abstractNumId w:val="27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8"/>
          <w:u w:val="none"/>
        </w:rPr>
      </w:lvl>
    </w:lvlOverride>
  </w:num>
  <w:num w:numId="11">
    <w:abstractNumId w:val="8"/>
  </w:num>
  <w:num w:numId="12">
    <w:abstractNumId w:val="1"/>
  </w:num>
  <w:num w:numId="13">
    <w:abstractNumId w:val="21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12"/>
  </w:num>
  <w:num w:numId="18">
    <w:abstractNumId w:val="9"/>
  </w:num>
  <w:num w:numId="19">
    <w:abstractNumId w:val="26"/>
  </w:num>
  <w:num w:numId="20">
    <w:abstractNumId w:val="3"/>
  </w:num>
  <w:num w:numId="21">
    <w:abstractNumId w:val="2"/>
  </w:num>
  <w:num w:numId="22">
    <w:abstractNumId w:val="24"/>
  </w:num>
  <w:num w:numId="23">
    <w:abstractNumId w:val="19"/>
  </w:num>
  <w:num w:numId="24">
    <w:abstractNumId w:val="20"/>
  </w:num>
  <w:num w:numId="25">
    <w:abstractNumId w:val="15"/>
  </w:num>
  <w:num w:numId="26">
    <w:abstractNumId w:val="7"/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3"/>
  </w:num>
  <w:num w:numId="30">
    <w:abstractNumId w:val="18"/>
  </w:num>
  <w:num w:numId="31">
    <w:abstractNumId w:val="13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9"/>
    <w:rsid w:val="00003ED4"/>
    <w:rsid w:val="000261D6"/>
    <w:rsid w:val="0003288A"/>
    <w:rsid w:val="000350EE"/>
    <w:rsid w:val="00043F56"/>
    <w:rsid w:val="0006552E"/>
    <w:rsid w:val="00076568"/>
    <w:rsid w:val="00087C90"/>
    <w:rsid w:val="0009451A"/>
    <w:rsid w:val="000974DB"/>
    <w:rsid w:val="000E6982"/>
    <w:rsid w:val="00106748"/>
    <w:rsid w:val="001109BB"/>
    <w:rsid w:val="00123DF5"/>
    <w:rsid w:val="00137846"/>
    <w:rsid w:val="001455A4"/>
    <w:rsid w:val="001754F3"/>
    <w:rsid w:val="00191EFD"/>
    <w:rsid w:val="00192854"/>
    <w:rsid w:val="001E0281"/>
    <w:rsid w:val="00203F8C"/>
    <w:rsid w:val="002835FB"/>
    <w:rsid w:val="002B0C8D"/>
    <w:rsid w:val="002B5D85"/>
    <w:rsid w:val="002D04B6"/>
    <w:rsid w:val="00371C60"/>
    <w:rsid w:val="003742F3"/>
    <w:rsid w:val="003A797F"/>
    <w:rsid w:val="003B0C12"/>
    <w:rsid w:val="003F63B4"/>
    <w:rsid w:val="003F7C09"/>
    <w:rsid w:val="0040702D"/>
    <w:rsid w:val="00415C24"/>
    <w:rsid w:val="0042578F"/>
    <w:rsid w:val="00427DE5"/>
    <w:rsid w:val="004748EC"/>
    <w:rsid w:val="00482DFE"/>
    <w:rsid w:val="00490432"/>
    <w:rsid w:val="00493C9F"/>
    <w:rsid w:val="004A4E0D"/>
    <w:rsid w:val="004C188B"/>
    <w:rsid w:val="004C5AB2"/>
    <w:rsid w:val="004C6DCE"/>
    <w:rsid w:val="004D4C14"/>
    <w:rsid w:val="00552C87"/>
    <w:rsid w:val="00555DCF"/>
    <w:rsid w:val="00584046"/>
    <w:rsid w:val="00585ABF"/>
    <w:rsid w:val="005E56B7"/>
    <w:rsid w:val="005E7D20"/>
    <w:rsid w:val="0060167B"/>
    <w:rsid w:val="00607763"/>
    <w:rsid w:val="00624876"/>
    <w:rsid w:val="006418C0"/>
    <w:rsid w:val="006669B2"/>
    <w:rsid w:val="00670FD4"/>
    <w:rsid w:val="006B28C5"/>
    <w:rsid w:val="006C298C"/>
    <w:rsid w:val="006D1D89"/>
    <w:rsid w:val="006D50E3"/>
    <w:rsid w:val="006F5AE4"/>
    <w:rsid w:val="00713675"/>
    <w:rsid w:val="0074191F"/>
    <w:rsid w:val="00753015"/>
    <w:rsid w:val="00762BB9"/>
    <w:rsid w:val="007A0790"/>
    <w:rsid w:val="007A37B2"/>
    <w:rsid w:val="007C7110"/>
    <w:rsid w:val="007E26FA"/>
    <w:rsid w:val="007F1256"/>
    <w:rsid w:val="00810424"/>
    <w:rsid w:val="00856AD0"/>
    <w:rsid w:val="00897BE5"/>
    <w:rsid w:val="008A1F80"/>
    <w:rsid w:val="008A7832"/>
    <w:rsid w:val="008A7E12"/>
    <w:rsid w:val="008C6247"/>
    <w:rsid w:val="008E2D2D"/>
    <w:rsid w:val="009139F3"/>
    <w:rsid w:val="0092641B"/>
    <w:rsid w:val="00980449"/>
    <w:rsid w:val="009824B8"/>
    <w:rsid w:val="0098438B"/>
    <w:rsid w:val="009A7F90"/>
    <w:rsid w:val="009D1A38"/>
    <w:rsid w:val="009D5C52"/>
    <w:rsid w:val="009F25F5"/>
    <w:rsid w:val="00A04330"/>
    <w:rsid w:val="00A62179"/>
    <w:rsid w:val="00A91BEE"/>
    <w:rsid w:val="00AA251A"/>
    <w:rsid w:val="00AD352C"/>
    <w:rsid w:val="00B029FF"/>
    <w:rsid w:val="00B129C2"/>
    <w:rsid w:val="00B1327C"/>
    <w:rsid w:val="00B2172A"/>
    <w:rsid w:val="00B4529F"/>
    <w:rsid w:val="00BE0B8C"/>
    <w:rsid w:val="00C7377D"/>
    <w:rsid w:val="00C96DCA"/>
    <w:rsid w:val="00CA0D9E"/>
    <w:rsid w:val="00CC3E5F"/>
    <w:rsid w:val="00CC78B3"/>
    <w:rsid w:val="00D02867"/>
    <w:rsid w:val="00D053AD"/>
    <w:rsid w:val="00D3360B"/>
    <w:rsid w:val="00D36A46"/>
    <w:rsid w:val="00D445C3"/>
    <w:rsid w:val="00D66C4A"/>
    <w:rsid w:val="00D738C5"/>
    <w:rsid w:val="00D94AAD"/>
    <w:rsid w:val="00DB789B"/>
    <w:rsid w:val="00DD0D48"/>
    <w:rsid w:val="00E013A2"/>
    <w:rsid w:val="00E029D1"/>
    <w:rsid w:val="00E11C2A"/>
    <w:rsid w:val="00E809E9"/>
    <w:rsid w:val="00EA19AB"/>
    <w:rsid w:val="00EE2646"/>
    <w:rsid w:val="00EE5B18"/>
    <w:rsid w:val="00EF0026"/>
    <w:rsid w:val="00F0231A"/>
    <w:rsid w:val="00F95226"/>
    <w:rsid w:val="00FB5A4A"/>
    <w:rsid w:val="00FF04D3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A8F4-F6C9-477A-9343-82F09346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7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17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217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6217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62179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62179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A62179"/>
    <w:pPr>
      <w:keepNext/>
      <w:jc w:val="center"/>
      <w:outlineLvl w:val="5"/>
    </w:pPr>
    <w:rPr>
      <w:b/>
      <w:caps/>
      <w:sz w:val="22"/>
    </w:rPr>
  </w:style>
  <w:style w:type="paragraph" w:styleId="7">
    <w:name w:val="heading 7"/>
    <w:basedOn w:val="a"/>
    <w:next w:val="a"/>
    <w:link w:val="70"/>
    <w:qFormat/>
    <w:rsid w:val="00A62179"/>
    <w:pPr>
      <w:keepNext/>
      <w:ind w:left="113" w:hanging="113"/>
      <w:jc w:val="center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62179"/>
    <w:pPr>
      <w:keepNext/>
      <w:spacing w:before="120"/>
      <w:jc w:val="right"/>
      <w:outlineLvl w:val="7"/>
    </w:pPr>
    <w:rPr>
      <w:snapToGrid w:val="0"/>
      <w:color w:val="000000"/>
      <w:sz w:val="24"/>
    </w:rPr>
  </w:style>
  <w:style w:type="paragraph" w:styleId="9">
    <w:name w:val="heading 9"/>
    <w:basedOn w:val="a"/>
    <w:next w:val="a"/>
    <w:link w:val="90"/>
    <w:qFormat/>
    <w:rsid w:val="00A62179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1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1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2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2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2179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217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217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2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21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2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62179"/>
    <w:pPr>
      <w:jc w:val="center"/>
    </w:pPr>
    <w:rPr>
      <w:b/>
      <w:i/>
      <w:sz w:val="52"/>
      <w:lang w:val="en-US"/>
    </w:rPr>
  </w:style>
  <w:style w:type="character" w:customStyle="1" w:styleId="a6">
    <w:name w:val="Подзаголовок Знак"/>
    <w:basedOn w:val="a0"/>
    <w:link w:val="a5"/>
    <w:rsid w:val="00A62179"/>
    <w:rPr>
      <w:rFonts w:ascii="Times New Roman" w:eastAsia="Times New Roman" w:hAnsi="Times New Roman" w:cs="Times New Roman"/>
      <w:b/>
      <w:i/>
      <w:sz w:val="52"/>
      <w:szCs w:val="20"/>
      <w:lang w:val="en-US" w:eastAsia="ru-RU"/>
    </w:rPr>
  </w:style>
  <w:style w:type="character" w:styleId="a7">
    <w:name w:val="Hyperlink"/>
    <w:rsid w:val="00A62179"/>
    <w:rPr>
      <w:color w:val="0000FF"/>
      <w:u w:val="single"/>
    </w:rPr>
  </w:style>
  <w:style w:type="paragraph" w:styleId="a8">
    <w:name w:val="Body Text Indent"/>
    <w:basedOn w:val="a"/>
    <w:link w:val="a9"/>
    <w:rsid w:val="00A62179"/>
    <w:pPr>
      <w:ind w:right="-1"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62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aliases w:val=" Знак Знак Знак"/>
    <w:basedOn w:val="a"/>
    <w:link w:val="32"/>
    <w:rsid w:val="00A62179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aliases w:val=" Знак Знак Знак Знак"/>
    <w:basedOn w:val="a0"/>
    <w:link w:val="31"/>
    <w:rsid w:val="00A62179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A6217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A6217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2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A62179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A62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aliases w:val=" Знак"/>
    <w:basedOn w:val="a"/>
    <w:link w:val="22"/>
    <w:rsid w:val="00A62179"/>
    <w:pPr>
      <w:jc w:val="both"/>
    </w:pPr>
    <w:rPr>
      <w:sz w:val="24"/>
    </w:rPr>
  </w:style>
  <w:style w:type="character" w:customStyle="1" w:styleId="22">
    <w:name w:val="Основной текст 2 Знак"/>
    <w:aliases w:val=" Знак Знак"/>
    <w:basedOn w:val="a0"/>
    <w:link w:val="21"/>
    <w:rsid w:val="00A62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A62179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2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A62179"/>
    <w:pPr>
      <w:pageBreakBefore/>
      <w:ind w:firstLine="720"/>
      <w:jc w:val="center"/>
    </w:pPr>
    <w:rPr>
      <w:b/>
      <w:sz w:val="28"/>
    </w:rPr>
  </w:style>
  <w:style w:type="character" w:styleId="af1">
    <w:name w:val="footnote reference"/>
    <w:uiPriority w:val="99"/>
    <w:semiHidden/>
    <w:rsid w:val="00A62179"/>
    <w:rPr>
      <w:vertAlign w:val="superscript"/>
    </w:rPr>
  </w:style>
  <w:style w:type="paragraph" w:styleId="33">
    <w:name w:val="Body Text 3"/>
    <w:basedOn w:val="a"/>
    <w:link w:val="34"/>
    <w:rsid w:val="00A62179"/>
    <w:pPr>
      <w:tabs>
        <w:tab w:val="left" w:pos="2522"/>
        <w:tab w:val="left" w:pos="3547"/>
        <w:tab w:val="left" w:pos="4572"/>
        <w:tab w:val="left" w:pos="5597"/>
        <w:tab w:val="left" w:pos="6622"/>
      </w:tabs>
    </w:pPr>
    <w:rPr>
      <w:b/>
      <w:snapToGrid w:val="0"/>
      <w:color w:val="000000"/>
      <w:sz w:val="26"/>
    </w:rPr>
  </w:style>
  <w:style w:type="character" w:customStyle="1" w:styleId="34">
    <w:name w:val="Основной текст 3 Знак"/>
    <w:basedOn w:val="a0"/>
    <w:link w:val="33"/>
    <w:rsid w:val="00A62179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paragraph" w:styleId="af2">
    <w:name w:val="footnote text"/>
    <w:aliases w:val="single space,FOOTNOTES,fn,footnote text,Footnote,12pt,Footnote Text Char1 Char,Footnote Text Char1 Char Char Char Char,Footnote Text Char1 Char Char Char,Geneva 9,Font: Geneva 9,Boston 10,f,Footnote Text Char Char,poznppMV,Char Знак Знак"/>
    <w:basedOn w:val="a"/>
    <w:link w:val="af3"/>
    <w:rsid w:val="00A62179"/>
  </w:style>
  <w:style w:type="character" w:customStyle="1" w:styleId="af3">
    <w:name w:val="Текст сноски Знак"/>
    <w:aliases w:val="single space Знак,FOOTNOTES Знак,fn Знак,footnote text Знак,Footnote Знак,12pt Знак,Footnote Text Char1 Char Знак,Footnote Text Char1 Char Char Char Char Знак,Footnote Text Char1 Char Char Char Знак,Geneva 9 Знак,Font: Geneva 9 Знак"/>
    <w:basedOn w:val="a0"/>
    <w:link w:val="af2"/>
    <w:rsid w:val="00A62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A62179"/>
    <w:rPr>
      <w:color w:val="800080"/>
      <w:u w:val="single"/>
    </w:rPr>
  </w:style>
  <w:style w:type="character" w:styleId="af5">
    <w:name w:val="page number"/>
    <w:basedOn w:val="a0"/>
    <w:rsid w:val="00A62179"/>
  </w:style>
  <w:style w:type="paragraph" w:customStyle="1" w:styleId="af6">
    <w:name w:val="бычный"/>
    <w:rsid w:val="00A62179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62179"/>
    <w:pPr>
      <w:ind w:firstLine="720"/>
      <w:jc w:val="both"/>
    </w:pPr>
    <w:rPr>
      <w:sz w:val="28"/>
    </w:rPr>
  </w:style>
  <w:style w:type="paragraph" w:styleId="af7">
    <w:name w:val="Balloon Text"/>
    <w:basedOn w:val="a"/>
    <w:link w:val="af8"/>
    <w:semiHidden/>
    <w:rsid w:val="00A621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62179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A6217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A6217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editsection">
    <w:name w:val="editsection"/>
    <w:basedOn w:val="a0"/>
    <w:rsid w:val="00A62179"/>
  </w:style>
  <w:style w:type="character" w:customStyle="1" w:styleId="mw-headline">
    <w:name w:val="mw-headline"/>
    <w:basedOn w:val="a0"/>
    <w:rsid w:val="00A62179"/>
  </w:style>
  <w:style w:type="paragraph" w:customStyle="1" w:styleId="11">
    <w:name w:val="Обычный (веб)1"/>
    <w:basedOn w:val="a"/>
    <w:rsid w:val="00A62179"/>
    <w:pPr>
      <w:spacing w:before="100" w:beforeAutospacing="1" w:after="240" w:line="336" w:lineRule="atLeast"/>
    </w:pPr>
    <w:rPr>
      <w:sz w:val="24"/>
      <w:szCs w:val="24"/>
    </w:rPr>
  </w:style>
  <w:style w:type="paragraph" w:customStyle="1" w:styleId="12">
    <w:name w:val="Обычный1"/>
    <w:rsid w:val="00A62179"/>
    <w:pPr>
      <w:widowControl w:val="0"/>
      <w:spacing w:line="28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b">
    <w:name w:val="Знак Знак Знак Знак"/>
    <w:semiHidden/>
    <w:rsid w:val="00A62179"/>
    <w:rPr>
      <w:sz w:val="22"/>
      <w:lang w:val="ru-RU" w:eastAsia="ru-RU" w:bidi="ar-SA"/>
    </w:rPr>
  </w:style>
  <w:style w:type="paragraph" w:styleId="afc">
    <w:name w:val="No Spacing"/>
    <w:link w:val="afd"/>
    <w:uiPriority w:val="1"/>
    <w:qFormat/>
    <w:rsid w:val="00A62179"/>
    <w:pPr>
      <w:jc w:val="left"/>
    </w:pPr>
    <w:rPr>
      <w:rFonts w:ascii="Calibri" w:eastAsia="Calibri" w:hAnsi="Calibri" w:cs="Times New Roman"/>
    </w:rPr>
  </w:style>
  <w:style w:type="paragraph" w:customStyle="1" w:styleId="25">
    <w:name w:val="Обычный (веб)2"/>
    <w:basedOn w:val="a"/>
    <w:rsid w:val="00A62179"/>
    <w:pPr>
      <w:spacing w:before="120" w:after="120"/>
    </w:pPr>
    <w:rPr>
      <w:sz w:val="24"/>
      <w:szCs w:val="24"/>
    </w:rPr>
  </w:style>
  <w:style w:type="character" w:customStyle="1" w:styleId="afd">
    <w:name w:val="Без интервала Знак"/>
    <w:link w:val="afc"/>
    <w:uiPriority w:val="1"/>
    <w:rsid w:val="00A6217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62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1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A62179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A62179"/>
    <w:pPr>
      <w:ind w:firstLine="720"/>
      <w:jc w:val="both"/>
    </w:pPr>
    <w:rPr>
      <w:sz w:val="28"/>
    </w:rPr>
  </w:style>
  <w:style w:type="character" w:customStyle="1" w:styleId="afe">
    <w:name w:val="Знак Знак Знак Знак"/>
    <w:semiHidden/>
    <w:rsid w:val="00A62179"/>
    <w:rPr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0;&#1089;&#1082;%20D\&#1060;&#1080;&#1085;&#1072;&#1085;&#1089;&#1099;\&#1047;&#1072;&#1087;&#1080;&#1089;&#1082;&#1080;\2021\&#1043;&#1088;&#1072;&#1092;&#1080;&#1082;_&#1076;&#1086;&#1083;&#1075;_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0;&#1089;&#1082;%20D\&#1060;&#1080;&#1085;&#1072;&#1085;&#1089;&#1099;\&#1047;&#1072;&#1087;&#1080;&#1089;&#1082;&#1080;\2021\&#1043;&#1088;&#1072;&#1092;&#1080;&#1082;_&#1076;&#1086;&#1083;&#1075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график_кырг.!$A$4</c:f>
              <c:strCache>
                <c:ptCount val="1"/>
                <c:pt idx="0">
                  <c:v>Дебитордук карыз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график_кырг.!$B$3:$F$3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график_кырг.!$B$4:$F$4</c:f>
              <c:numCache>
                <c:formatCode>#,##0.0</c:formatCode>
                <c:ptCount val="5"/>
                <c:pt idx="0">
                  <c:v>129914.2</c:v>
                </c:pt>
                <c:pt idx="1">
                  <c:v>122615.4</c:v>
                </c:pt>
                <c:pt idx="2">
                  <c:v>115790.39999999999</c:v>
                </c:pt>
                <c:pt idx="3">
                  <c:v>156352.70000000001</c:v>
                </c:pt>
                <c:pt idx="4">
                  <c:v>173994.2</c:v>
                </c:pt>
              </c:numCache>
            </c:numRef>
          </c:val>
        </c:ser>
        <c:ser>
          <c:idx val="1"/>
          <c:order val="1"/>
          <c:tx>
            <c:strRef>
              <c:f>график_кырг.!$A$5</c:f>
              <c:strCache>
                <c:ptCount val="1"/>
                <c:pt idx="0">
                  <c:v>Мөөнөтү өткөн  дебитордук карыз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796460176991149E-3"/>
                  <c:y val="-7.69894740849013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159292035398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график_кырг.!$B$3:$F$3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график_кырг.!$B$5:$F$5</c:f>
              <c:numCache>
                <c:formatCode>#,##0.0</c:formatCode>
                <c:ptCount val="5"/>
                <c:pt idx="0">
                  <c:v>4896.7434999999996</c:v>
                </c:pt>
                <c:pt idx="1">
                  <c:v>3332.7550000000001</c:v>
                </c:pt>
                <c:pt idx="2">
                  <c:v>4328.1544999999996</c:v>
                </c:pt>
                <c:pt idx="3">
                  <c:v>4178.4602999999997</c:v>
                </c:pt>
                <c:pt idx="4">
                  <c:v>7382.7100999999993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25"/>
        <c:axId val="385570392"/>
        <c:axId val="385568432"/>
      </c:barChart>
      <c:catAx>
        <c:axId val="385570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385568432"/>
        <c:crosses val="autoZero"/>
        <c:auto val="1"/>
        <c:lblAlgn val="ctr"/>
        <c:lblOffset val="100"/>
        <c:noMultiLvlLbl val="0"/>
      </c:catAx>
      <c:valAx>
        <c:axId val="38556843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crossAx val="385570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241841451234527E-2"/>
          <c:y val="0.90356254306941231"/>
          <c:w val="0.96371672125055163"/>
          <c:h val="7.1240610702773766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график_кырг.!$M$4</c:f>
              <c:strCache>
                <c:ptCount val="1"/>
                <c:pt idx="0">
                  <c:v>Кредитордук карыз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график_кырг.!$N$3:$R$3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график_кырг.!$N$4:$R$4</c:f>
              <c:numCache>
                <c:formatCode>#,##0.0</c:formatCode>
                <c:ptCount val="5"/>
                <c:pt idx="0">
                  <c:v>186282.83720000001</c:v>
                </c:pt>
                <c:pt idx="1">
                  <c:v>201326.87609999999</c:v>
                </c:pt>
                <c:pt idx="2">
                  <c:v>211567.54</c:v>
                </c:pt>
                <c:pt idx="3">
                  <c:v>246009.38589999996</c:v>
                </c:pt>
                <c:pt idx="4">
                  <c:v>265101.34789999999</c:v>
                </c:pt>
              </c:numCache>
            </c:numRef>
          </c:val>
        </c:ser>
        <c:ser>
          <c:idx val="1"/>
          <c:order val="1"/>
          <c:tx>
            <c:strRef>
              <c:f>график_кырг.!$M$5</c:f>
              <c:strCache>
                <c:ptCount val="1"/>
                <c:pt idx="0">
                  <c:v>Мөөнөтү өткөн кредитордук карыз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график_кырг.!$N$3:$R$3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график_кырг.!$N$5:$R$5</c:f>
              <c:numCache>
                <c:formatCode>#,##0.0</c:formatCode>
                <c:ptCount val="5"/>
                <c:pt idx="0">
                  <c:v>6408.9078</c:v>
                </c:pt>
                <c:pt idx="1">
                  <c:v>5732.6803000000009</c:v>
                </c:pt>
                <c:pt idx="2">
                  <c:v>5347.6766999999991</c:v>
                </c:pt>
                <c:pt idx="3">
                  <c:v>5274.1360999999997</c:v>
                </c:pt>
                <c:pt idx="4">
                  <c:v>6195.6152999999995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385570784"/>
        <c:axId val="385571176"/>
      </c:barChart>
      <c:catAx>
        <c:axId val="38557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385571176"/>
        <c:crosses val="autoZero"/>
        <c:auto val="1"/>
        <c:lblAlgn val="ctr"/>
        <c:lblOffset val="100"/>
        <c:noMultiLvlLbl val="0"/>
      </c:catAx>
      <c:valAx>
        <c:axId val="38557117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crossAx val="385570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41517745064476E-2"/>
          <c:y val="0.90580355143915103"/>
          <c:w val="0.9554884856784206"/>
          <c:h val="6.8348310780098148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Abdrahmanova</cp:lastModifiedBy>
  <cp:revision>44</cp:revision>
  <dcterms:created xsi:type="dcterms:W3CDTF">2021-07-22T08:24:00Z</dcterms:created>
  <dcterms:modified xsi:type="dcterms:W3CDTF">2021-07-27T03:28:00Z</dcterms:modified>
</cp:coreProperties>
</file>