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43" w:rsidRDefault="0088424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A9B67B" wp14:editId="1F2DAD06">
            <wp:extent cx="9296400" cy="546735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84243" w:rsidRDefault="00884243"/>
    <w:p w:rsidR="00884243" w:rsidRDefault="00884243">
      <w:r>
        <w:rPr>
          <w:noProof/>
          <w:lang w:eastAsia="ru-RU"/>
        </w:rPr>
        <w:drawing>
          <wp:inline distT="0" distB="0" distL="0" distR="0" wp14:anchorId="77BCC265" wp14:editId="5A71ED2D">
            <wp:extent cx="9296400" cy="52578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4243" w:rsidRDefault="00884243"/>
    <w:p w:rsidR="00884243" w:rsidRDefault="00884243"/>
    <w:p w:rsidR="00884243" w:rsidRDefault="00884243">
      <w:r>
        <w:rPr>
          <w:noProof/>
          <w:lang w:eastAsia="ru-RU"/>
        </w:rPr>
        <w:drawing>
          <wp:inline distT="0" distB="0" distL="0" distR="0" wp14:anchorId="6C4D2C8B" wp14:editId="7A006D43">
            <wp:extent cx="9010650" cy="550545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4243" w:rsidRDefault="00884243"/>
    <w:p w:rsidR="00884243" w:rsidRDefault="00432E56">
      <w:r>
        <w:rPr>
          <w:noProof/>
          <w:lang w:eastAsia="ru-RU"/>
        </w:rPr>
        <w:drawing>
          <wp:inline distT="0" distB="0" distL="0" distR="0" wp14:anchorId="05F1FD31" wp14:editId="432FEFE5">
            <wp:extent cx="9201150" cy="565785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84243" w:rsidSect="00193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F"/>
    <w:rsid w:val="0019332F"/>
    <w:rsid w:val="00283EA6"/>
    <w:rsid w:val="00432E56"/>
    <w:rsid w:val="00843D82"/>
    <w:rsid w:val="00884243"/>
    <w:rsid w:val="00A261F0"/>
    <w:rsid w:val="00E2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6D06"/>
  <w15:chartTrackingRefBased/>
  <w15:docId w15:val="{2F3F27C3-FCFD-4DF9-8DC9-D3208A4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7.12\vibor_NSC\Selectively_Syrvey\&#1048;&#1085;&#1076;&#1077;&#1082;&#1089;%20&#1076;&#1086;&#1074;&#1077;&#1088;&#1080;&#1103;\&#1044;&#1048;&#1053;&#1040;&#1052;&#1048;&#1050;&#1040;%20&#1048;&#1044;&#1053;\!&#1044;&#1080;&#1085;&#1072;&#1084;&#1080;&#1082;&#1072;%20&#1048;&#1044;&#1053;%20&#1089;&#1090;&#1088;&#1091;&#1082;&#1090;&#1091;&#1088;&#1072;%202021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7.12\vibor_NSC\Selectively_Syrvey\&#1048;&#1085;&#1076;&#1077;&#1082;&#1089;%20&#1076;&#1086;&#1074;&#1077;&#1088;&#1080;&#1103;\&#1044;&#1048;&#1053;&#1040;&#1052;&#1048;&#1050;&#1040;%20&#1048;&#1044;&#1053;\!&#1044;&#1080;&#1085;&#1072;&#1084;&#1080;&#1082;&#1072;%20&#1048;&#1044;&#1053;%20&#1089;&#1090;&#1088;&#1091;&#1082;&#1090;&#1091;&#1088;&#1072;%202021%20&#1075;&#1086;&#1076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7.12\vibor_NSC\Selectively_Syrvey\&#1048;&#1085;&#1076;&#1077;&#1082;&#1089;%20&#1076;&#1086;&#1074;&#1077;&#1088;&#1080;&#1103;\&#1044;&#1048;&#1053;&#1040;&#1052;&#1048;&#1050;&#1040;%20&#1048;&#1044;&#1053;\!&#1044;&#1080;&#1085;&#1072;&#1084;&#1080;&#1082;&#1072;%20&#1048;&#1044;&#1053;%20&#1089;&#1090;&#1088;&#1091;&#1082;&#1090;&#1091;&#1088;&#1072;%202021%20&#1075;&#1086;&#1076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7.12\vibor_NSC\Selectively_Syrvey\&#1048;&#1085;&#1076;&#1077;&#1082;&#1089;%20&#1076;&#1086;&#1074;&#1077;&#1088;&#1080;&#1103;\&#1044;&#1048;&#1053;&#1040;&#1052;&#1048;&#1050;&#1040;%20&#1048;&#1044;&#1053;\!&#1044;&#1080;&#1085;&#1072;&#1084;&#1080;&#1082;&#1072;%20&#1048;&#1044;&#1053;%20&#1089;&#1090;&#1088;&#1091;&#1082;&#1090;&#1091;&#1088;&#1072;%202021%20&#1075;&#1086;&#1076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доверия населения, I полугодие 2022г.</a:t>
            </a:r>
          </a:p>
        </c:rich>
      </c:tx>
      <c:layout>
        <c:manualLayout>
          <c:xMode val="edge"/>
          <c:yMode val="edge"/>
          <c:x val="0.30922215218137122"/>
          <c:y val="1.08407021417500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768899510628018"/>
          <c:y val="6.6907904626731921E-2"/>
          <c:w val="0.49231104038968271"/>
          <c:h val="0.921421968445937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'[!Динамика ИДН структура 2021 года.xlsx]Графики-рейтинг (1полуг.2022'!$C$19</c:f>
              <c:strCache>
                <c:ptCount val="1"/>
                <c:pt idx="0">
                  <c:v>ИДН 1</c:v>
                </c:pt>
              </c:strCache>
            </c:strRef>
          </c:tx>
          <c:spPr>
            <a:solidFill>
              <a:srgbClr val="6792C5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B8A-47DB-9E18-907E77425FD6}"/>
              </c:ext>
            </c:extLst>
          </c:dPt>
          <c:dPt>
            <c:idx val="13"/>
            <c:invertIfNegative val="0"/>
            <c:bubble3D val="0"/>
            <c:spPr>
              <a:solidFill>
                <a:srgbClr val="6792C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B8A-47DB-9E18-907E77425FD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B8A-47DB-9E18-907E77425FD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B8A-47DB-9E18-907E77425FD6}"/>
              </c:ext>
            </c:extLst>
          </c:dPt>
          <c:dPt>
            <c:idx val="23"/>
            <c:invertIfNegative val="0"/>
            <c:bubble3D val="0"/>
            <c:spPr>
              <a:solidFill>
                <a:srgbClr val="6792C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3B8A-47DB-9E18-907E77425FD6}"/>
              </c:ext>
            </c:extLst>
          </c:dPt>
          <c:dLbls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B8A-47DB-9E18-907E77425FD6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B8A-47DB-9E18-907E77425F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'[!Динамика ИДН структура 2021 года.xlsx]Графики-рейтинг (1полуг.2022'!$B$20:$B$45</c:f>
              <c:strCache>
                <c:ptCount val="26"/>
                <c:pt idx="0">
                  <c:v>Министерство здравоохранения КР</c:v>
                </c:pt>
                <c:pt idx="1">
                  <c:v>Госагентство архитектуры, строительства и ЖКХ при Кабмине КР</c:v>
                </c:pt>
                <c:pt idx="2">
                  <c:v>Министерство природных ресурсов, экологии и технического надзора </c:v>
                </c:pt>
                <c:pt idx="3">
                  <c:v>Министерство транспорта и коммуникаций КР</c:v>
                </c:pt>
                <c:pt idx="4">
                  <c:v>Министерство внутренних дел КР </c:v>
                </c:pt>
                <c:pt idx="5">
                  <c:v>Министерство юстиции КР </c:v>
                </c:pt>
                <c:pt idx="6">
                  <c:v>Министерство труда, социального обеспечения и миграции</c:v>
                </c:pt>
                <c:pt idx="7">
                  <c:v>Министерство экономики и коммерции КР </c:v>
                </c:pt>
                <c:pt idx="8">
                  <c:v>Министерство образования и науки КР</c:v>
                </c:pt>
                <c:pt idx="9">
                  <c:v>Министерство финансов КР</c:v>
                </c:pt>
                <c:pt idx="10">
                  <c:v>Министерство сельского хозяйства КР</c:v>
                </c:pt>
                <c:pt idx="11">
                  <c:v>Госагентство по защите персональных данных  при Кабмине КР</c:v>
                </c:pt>
                <c:pt idx="12">
                  <c:v>Кыргызская Республика</c:v>
                </c:pt>
                <c:pt idx="13">
                  <c:v>Госагентство по делам госслужбы и местного самоуправления при Кабмине КР</c:v>
                </c:pt>
                <c:pt idx="14">
                  <c:v>Социальный фонд КР при Кабмине КР</c:v>
                </c:pt>
                <c:pt idx="15">
                  <c:v>Госагентство интеллектуальной собственности и инноваций при Кабмине КР</c:v>
                </c:pt>
                <c:pt idx="16">
                  <c:v>Министерство энергетики КР</c:v>
                </c:pt>
                <c:pt idx="17">
                  <c:v>Министерство иностранных дел КР </c:v>
                </c:pt>
                <c:pt idx="18">
                  <c:v>Министерство обороны КР</c:v>
                </c:pt>
                <c:pt idx="19">
                  <c:v>Органы МСУ КР:  мэрии городов Бишкек, Ош</c:v>
                </c:pt>
                <c:pt idx="20">
                  <c:v>Министерство цифрового развития КР</c:v>
                </c:pt>
                <c:pt idx="21">
                  <c:v>Министерство культуры, информации, спорта и молодежной политики КР</c:v>
                </c:pt>
                <c:pt idx="22">
                  <c:v>Министерство чрезвычайных ситуаций КР</c:v>
                </c:pt>
                <c:pt idx="23">
                  <c:v>Местная государственная администрация</c:v>
                </c:pt>
                <c:pt idx="24">
                  <c:v>Органы МСУ городов областного, районного значения и айылных аймаков</c:v>
                </c:pt>
                <c:pt idx="25">
                  <c:v>Аппараты Полномочных представителей Президента КР в областях</c:v>
                </c:pt>
              </c:strCache>
            </c:strRef>
          </c:cat>
          <c:val>
            <c:numRef>
              <c:f>'[!Динамика ИДН структура 2021 года.xlsx]Графики-рейтинг (1полуг.2022'!$C$20:$C$45</c:f>
              <c:numCache>
                <c:formatCode>0.0</c:formatCode>
                <c:ptCount val="26"/>
                <c:pt idx="0">
                  <c:v>20.933047363207979</c:v>
                </c:pt>
                <c:pt idx="1">
                  <c:v>22.974567037397129</c:v>
                </c:pt>
                <c:pt idx="2">
                  <c:v>23.531893532899161</c:v>
                </c:pt>
                <c:pt idx="3">
                  <c:v>25.280698245897952</c:v>
                </c:pt>
                <c:pt idx="4">
                  <c:v>25.872288357670701</c:v>
                </c:pt>
                <c:pt idx="5">
                  <c:v>27.106893867547655</c:v>
                </c:pt>
                <c:pt idx="6">
                  <c:v>28.400417078489131</c:v>
                </c:pt>
                <c:pt idx="7">
                  <c:v>28.582849487891739</c:v>
                </c:pt>
                <c:pt idx="8">
                  <c:v>29.433938706687936</c:v>
                </c:pt>
                <c:pt idx="9">
                  <c:v>29.503324240256237</c:v>
                </c:pt>
                <c:pt idx="10">
                  <c:v>30.81382380039814</c:v>
                </c:pt>
                <c:pt idx="11">
                  <c:v>32.898428988610661</c:v>
                </c:pt>
                <c:pt idx="12">
                  <c:v>33.291595251264702</c:v>
                </c:pt>
                <c:pt idx="13">
                  <c:v>34.706636004246313</c:v>
                </c:pt>
                <c:pt idx="14">
                  <c:v>34.737990312188046</c:v>
                </c:pt>
                <c:pt idx="15">
                  <c:v>34.88170395247969</c:v>
                </c:pt>
                <c:pt idx="16">
                  <c:v>35.394957786885037</c:v>
                </c:pt>
                <c:pt idx="17">
                  <c:v>35.621030408245282</c:v>
                </c:pt>
                <c:pt idx="18">
                  <c:v>37.317681304758345</c:v>
                </c:pt>
                <c:pt idx="19">
                  <c:v>39.777341162867472</c:v>
                </c:pt>
                <c:pt idx="20">
                  <c:v>41.811866228788126</c:v>
                </c:pt>
                <c:pt idx="21">
                  <c:v>42.157980550988171</c:v>
                </c:pt>
                <c:pt idx="22">
                  <c:v>44.07826584993655</c:v>
                </c:pt>
                <c:pt idx="23">
                  <c:v>47.528636273342251</c:v>
                </c:pt>
                <c:pt idx="24">
                  <c:v>48.731284990256185</c:v>
                </c:pt>
                <c:pt idx="25">
                  <c:v>49.394631211820972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8A-47DB-9E18-907E77425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08340648"/>
        <c:axId val="308341040"/>
      </c:barChart>
      <c:catAx>
        <c:axId val="308340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308341040"/>
        <c:crosses val="autoZero"/>
        <c:auto val="1"/>
        <c:lblAlgn val="ctr"/>
        <c:lblOffset val="100"/>
        <c:noMultiLvlLbl val="0"/>
      </c:catAx>
      <c:valAx>
        <c:axId val="30834104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308340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</a:t>
            </a:r>
            <a:r>
              <a:rPr lang="en-US">
                <a:solidFill>
                  <a:sysClr val="windowText" lastClr="000000"/>
                </a:solidFill>
              </a:rPr>
              <a:t>"</a:t>
            </a:r>
            <a:r>
              <a:rPr lang="ru-RU">
                <a:solidFill>
                  <a:sysClr val="windowText" lastClr="000000"/>
                </a:solidFill>
              </a:rPr>
              <a:t>Личное доверие гражданина к государству", </a:t>
            </a:r>
            <a:r>
              <a:rPr lang="en-US">
                <a:solidFill>
                  <a:sysClr val="windowText" lastClr="000000"/>
                </a:solidFill>
              </a:rPr>
              <a:t>I </a:t>
            </a:r>
            <a:r>
              <a:rPr lang="ru-RU">
                <a:solidFill>
                  <a:sysClr val="windowText" lastClr="000000"/>
                </a:solidFill>
              </a:rPr>
              <a:t>полугодие 2022г.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1261010788671113"/>
          <c:y val="7.0835848881654187E-2"/>
          <c:w val="0.44841859283718571"/>
          <c:h val="0.907974410847577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'[!Динамика ИДН структура 2021 года.xlsx]Графики-рейтинг (1полуг.2022'!$D$60</c:f>
              <c:strCache>
                <c:ptCount val="1"/>
                <c:pt idx="0">
                  <c:v>ИЛД 2</c:v>
                </c:pt>
              </c:strCache>
            </c:strRef>
          </c:tx>
          <c:spPr>
            <a:solidFill>
              <a:srgbClr val="648FC4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3"/>
            <c:invertIfNegative val="0"/>
            <c:bubble3D val="0"/>
            <c:spPr>
              <a:solidFill>
                <a:srgbClr val="648FC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A9E-4A7B-B819-02223E32BF95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A9E-4A7B-B819-02223E32BF9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A9E-4A7B-B819-02223E32BF9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A9E-4A7B-B819-02223E32BF9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A9E-4A7B-B819-02223E32BF95}"/>
              </c:ext>
            </c:extLst>
          </c:dPt>
          <c:dPt>
            <c:idx val="22"/>
            <c:invertIfNegative val="0"/>
            <c:bubble3D val="0"/>
            <c:spPr>
              <a:solidFill>
                <a:srgbClr val="648FC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8-3A9E-4A7B-B819-02223E32BF95}"/>
              </c:ext>
            </c:extLst>
          </c:dPt>
          <c:dLbls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A9E-4A7B-B819-02223E32BF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'[!Динамика ИДН структура 2021 года.xlsx]Графики-рейтинг (1полуг.2022'!$B$61:$B$86</c:f>
              <c:strCache>
                <c:ptCount val="26"/>
                <c:pt idx="0">
                  <c:v>Министерство природных ресурсов, экологии и технического надзора </c:v>
                </c:pt>
                <c:pt idx="1">
                  <c:v>Госагентство архитектуры, строительства и ЖКХ при Кабмине КР</c:v>
                </c:pt>
                <c:pt idx="2">
                  <c:v>Министерство транспорта и коммуникаций КР</c:v>
                </c:pt>
                <c:pt idx="3">
                  <c:v>Министерство труда, социального обеспечения и миграции</c:v>
                </c:pt>
                <c:pt idx="4">
                  <c:v>Министерство юстиции КР </c:v>
                </c:pt>
                <c:pt idx="5">
                  <c:v>Министерство экономики и коммерции КР </c:v>
                </c:pt>
                <c:pt idx="6">
                  <c:v>Министерство внутренних дел КР </c:v>
                </c:pt>
                <c:pt idx="7">
                  <c:v>Министерство здравоохранения КР</c:v>
                </c:pt>
                <c:pt idx="8">
                  <c:v>Госагентство по защите персональных данных  при Кабмине КР</c:v>
                </c:pt>
                <c:pt idx="9">
                  <c:v>Министерство финансов КР</c:v>
                </c:pt>
                <c:pt idx="10">
                  <c:v>Госагентство по делам госслужбы и местного самоуправления при Кабмине КР</c:v>
                </c:pt>
                <c:pt idx="11">
                  <c:v>Министерство сельского хозяйства КР</c:v>
                </c:pt>
                <c:pt idx="12">
                  <c:v>Госагентство интеллектуальной собственности и инноваций при Кабмине КР</c:v>
                </c:pt>
                <c:pt idx="13">
                  <c:v>Социальный фонд КР при Кабмине КР</c:v>
                </c:pt>
                <c:pt idx="14">
                  <c:v>Кыргызская Республика</c:v>
                </c:pt>
                <c:pt idx="15">
                  <c:v>Министерство образования и науки КР</c:v>
                </c:pt>
                <c:pt idx="16">
                  <c:v>Министерство иностранных дел КР </c:v>
                </c:pt>
                <c:pt idx="17">
                  <c:v>Органы МСУ КР:  мэрии городов Бишкек, Ош</c:v>
                </c:pt>
                <c:pt idx="18">
                  <c:v>Министерство обороны КР</c:v>
                </c:pt>
                <c:pt idx="19">
                  <c:v>Министерство энергетики КР</c:v>
                </c:pt>
                <c:pt idx="20">
                  <c:v>Министерство цифрового развития КР</c:v>
                </c:pt>
                <c:pt idx="21">
                  <c:v>Министерство культуры, информации, спорта и молодежной политики КР   </c:v>
                </c:pt>
                <c:pt idx="22">
                  <c:v>Министерство чрезвычайных ситуаций КР</c:v>
                </c:pt>
                <c:pt idx="23">
                  <c:v>Местная государственная администрация</c:v>
                </c:pt>
                <c:pt idx="24">
                  <c:v>Органы МСУ городов областного, районного значения и айылных аймаков</c:v>
                </c:pt>
                <c:pt idx="25">
                  <c:v>Аппараты Полномочных представителей Президента КР в областях</c:v>
                </c:pt>
              </c:strCache>
            </c:strRef>
          </c:cat>
          <c:val>
            <c:numRef>
              <c:f>'[!Динамика ИДН структура 2021 года.xlsx]Графики-рейтинг (1полуг.2022'!$D$61:$D$86</c:f>
              <c:numCache>
                <c:formatCode>###0.0</c:formatCode>
                <c:ptCount val="26"/>
                <c:pt idx="0">
                  <c:v>32.184050907150635</c:v>
                </c:pt>
                <c:pt idx="1">
                  <c:v>34.148433854732176</c:v>
                </c:pt>
                <c:pt idx="2">
                  <c:v>37.200712268369784</c:v>
                </c:pt>
                <c:pt idx="3">
                  <c:v>38.007760766789715</c:v>
                </c:pt>
                <c:pt idx="4">
                  <c:v>38.076231599275147</c:v>
                </c:pt>
                <c:pt idx="5">
                  <c:v>38.684932971233025</c:v>
                </c:pt>
                <c:pt idx="6">
                  <c:v>39.409347377357683</c:v>
                </c:pt>
                <c:pt idx="7">
                  <c:v>39.427514455695032</c:v>
                </c:pt>
                <c:pt idx="8">
                  <c:v>40.018954252214144</c:v>
                </c:pt>
                <c:pt idx="9">
                  <c:v>40.636189820119434</c:v>
                </c:pt>
                <c:pt idx="10">
                  <c:v>41.633109500177198</c:v>
                </c:pt>
                <c:pt idx="11">
                  <c:v>42.143003385259455</c:v>
                </c:pt>
                <c:pt idx="12">
                  <c:v>42.400522683057154</c:v>
                </c:pt>
                <c:pt idx="13">
                  <c:v>42.608146276200223</c:v>
                </c:pt>
                <c:pt idx="14">
                  <c:v>42.964550843904348</c:v>
                </c:pt>
                <c:pt idx="15">
                  <c:v>43.688862109510289</c:v>
                </c:pt>
                <c:pt idx="16">
                  <c:v>44.940797207065472</c:v>
                </c:pt>
                <c:pt idx="17">
                  <c:v>45.875284814591453</c:v>
                </c:pt>
                <c:pt idx="18">
                  <c:v>46.173741350500364</c:v>
                </c:pt>
                <c:pt idx="19">
                  <c:v>46.498672748345633</c:v>
                </c:pt>
                <c:pt idx="20">
                  <c:v>48.33276751898925</c:v>
                </c:pt>
                <c:pt idx="21">
                  <c:v>49.687142021172818</c:v>
                </c:pt>
                <c:pt idx="22">
                  <c:v>52.04533812374131</c:v>
                </c:pt>
                <c:pt idx="23">
                  <c:v>53.502929845409852</c:v>
                </c:pt>
                <c:pt idx="24">
                  <c:v>54.061548289183776</c:v>
                </c:pt>
                <c:pt idx="25">
                  <c:v>55.244643021295005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A9E-4A7B-B819-02223E32BF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07948896"/>
        <c:axId val="307949288"/>
      </c:barChart>
      <c:catAx>
        <c:axId val="30794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307949288"/>
        <c:crosses val="autoZero"/>
        <c:auto val="1"/>
        <c:lblAlgn val="ctr"/>
        <c:lblOffset val="100"/>
        <c:noMultiLvlLbl val="0"/>
      </c:catAx>
      <c:valAx>
        <c:axId val="30794928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crossAx val="30794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"Личное представление об уровне коррупции", </a:t>
            </a:r>
            <a:r>
              <a:rPr lang="en-US">
                <a:solidFill>
                  <a:sysClr val="windowText" lastClr="000000"/>
                </a:solidFill>
              </a:rPr>
              <a:t>I </a:t>
            </a:r>
            <a:r>
              <a:rPr lang="ru-RU">
                <a:solidFill>
                  <a:sysClr val="windowText" lastClr="000000"/>
                </a:solidFill>
              </a:rPr>
              <a:t>полугодие 2022г.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507170300998794"/>
          <c:y val="7.3811007753097263E-2"/>
          <c:w val="0.49492828150608836"/>
          <c:h val="0.911422191068722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'[!Динамика ИДН структура 2021 года.xlsx]Графики-рейтинг (1полуг.2022'!$E$92</c:f>
              <c:strCache>
                <c:ptCount val="1"/>
                <c:pt idx="0">
                  <c:v>ИУК 3</c:v>
                </c:pt>
              </c:strCache>
            </c:strRef>
          </c:tx>
          <c:spPr>
            <a:solidFill>
              <a:srgbClr val="6792C5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56AE-49DC-AAD2-0E5592978E5D}"/>
              </c:ext>
            </c:extLst>
          </c:dPt>
          <c:dPt>
            <c:idx val="13"/>
            <c:invertIfNegative val="0"/>
            <c:bubble3D val="0"/>
            <c:spPr>
              <a:solidFill>
                <a:srgbClr val="6792C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56AE-49DC-AAD2-0E5592978E5D}"/>
              </c:ext>
            </c:extLst>
          </c:dPt>
          <c:dLbls>
            <c:dLbl>
              <c:idx val="0"/>
              <c:layout>
                <c:manualLayout>
                  <c:x val="-3.4748532600274176E-2"/>
                  <c:y val="2.7929975373236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6AE-49DC-AAD2-0E5592978E5D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6AE-49DC-AAD2-0E5592978E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'[!Динамика ИДН структура 2021 года.xlsx]Графики-рейтинг (1полуг.2022'!$B$93:$B$118</c:f>
              <c:strCache>
                <c:ptCount val="26"/>
                <c:pt idx="0">
                  <c:v>Министерство здравоохранения КР</c:v>
                </c:pt>
                <c:pt idx="1">
                  <c:v>Министерство внутренних дел КР </c:v>
                </c:pt>
                <c:pt idx="2">
                  <c:v>Госагентство архитектуры, строительства и ЖКХ при Кабмине КР</c:v>
                </c:pt>
                <c:pt idx="3">
                  <c:v>Министерство образования и науки КР</c:v>
                </c:pt>
                <c:pt idx="4">
                  <c:v>Министерство юстиции КР </c:v>
                </c:pt>
                <c:pt idx="5">
                  <c:v>Министерство транспорта и коммуникаций КР</c:v>
                </c:pt>
                <c:pt idx="6">
                  <c:v>Министерство природных ресурсов, экологии и технического надзора </c:v>
                </c:pt>
                <c:pt idx="7">
                  <c:v>Министерство финансов КР</c:v>
                </c:pt>
                <c:pt idx="8">
                  <c:v>Министерство экономики и коммерции КР </c:v>
                </c:pt>
                <c:pt idx="9">
                  <c:v>Министерство труда, социального обеспечения и миграции</c:v>
                </c:pt>
                <c:pt idx="10">
                  <c:v>Министерство сельского хозяйства КР  </c:v>
                </c:pt>
                <c:pt idx="11">
                  <c:v>Министерство энергетики КР</c:v>
                </c:pt>
                <c:pt idx="12">
                  <c:v>Кыргызская Республика</c:v>
                </c:pt>
                <c:pt idx="13">
                  <c:v>Министерство иностранных дел КР </c:v>
                </c:pt>
                <c:pt idx="14">
                  <c:v>Госагентство по защите персональных данных  при Кабмине КР</c:v>
                </c:pt>
                <c:pt idx="15">
                  <c:v>Госагентство интеллектуальной собственности и инноваций при Кабмине КР </c:v>
                </c:pt>
                <c:pt idx="16">
                  <c:v>Социальный фонд КР при Кабмине КР</c:v>
                </c:pt>
                <c:pt idx="17">
                  <c:v>Госагентство по делам госслужбы и местного самоуправления при Кабмине КР</c:v>
                </c:pt>
                <c:pt idx="18">
                  <c:v>Министерство обороны КР</c:v>
                </c:pt>
                <c:pt idx="19">
                  <c:v>Министерство культуры, информации, спорта и молодежной политики КР   </c:v>
                </c:pt>
                <c:pt idx="20">
                  <c:v>Министерство цифрового развития КР</c:v>
                </c:pt>
                <c:pt idx="21">
                  <c:v>Органы МСУ КР:  мэрии городов Бишкек, Ош</c:v>
                </c:pt>
                <c:pt idx="22">
                  <c:v>Министерство чрезвычайных ситуаций КР</c:v>
                </c:pt>
                <c:pt idx="23">
                  <c:v>Местная государственная администрация</c:v>
                </c:pt>
                <c:pt idx="24">
                  <c:v>Аппараты Полномочных представителей Президента КР в областях</c:v>
                </c:pt>
                <c:pt idx="25">
                  <c:v>Органы МСУ городов областного, районного значения и айылных аймаков</c:v>
                </c:pt>
              </c:strCache>
            </c:strRef>
          </c:cat>
          <c:val>
            <c:numRef>
              <c:f>'[!Динамика ИДН структура 2021 года.xlsx]Графики-рейтинг (1полуг.2022'!$E$93:$E$118</c:f>
              <c:numCache>
                <c:formatCode>###0.0</c:formatCode>
                <c:ptCount val="26"/>
                <c:pt idx="0">
                  <c:v>-0.34309983596174271</c:v>
                </c:pt>
                <c:pt idx="1">
                  <c:v>7.8088951320294928</c:v>
                </c:pt>
                <c:pt idx="2">
                  <c:v>9.9354564184600189</c:v>
                </c:pt>
                <c:pt idx="3">
                  <c:v>11.847150784267612</c:v>
                </c:pt>
                <c:pt idx="4">
                  <c:v>13.39780941510981</c:v>
                </c:pt>
                <c:pt idx="5">
                  <c:v>13.729410986852693</c:v>
                </c:pt>
                <c:pt idx="6">
                  <c:v>15.130836890222763</c:v>
                </c:pt>
                <c:pt idx="7">
                  <c:v>17.302568441945741</c:v>
                </c:pt>
                <c:pt idx="8">
                  <c:v>18.158746832446948</c:v>
                </c:pt>
                <c:pt idx="9">
                  <c:v>18.297890912749324</c:v>
                </c:pt>
                <c:pt idx="10">
                  <c:v>19.661330909460112</c:v>
                </c:pt>
                <c:pt idx="11">
                  <c:v>21.561778184063549</c:v>
                </c:pt>
                <c:pt idx="12">
                  <c:v>22.408427401140248</c:v>
                </c:pt>
                <c:pt idx="13">
                  <c:v>23.581732656792735</c:v>
                </c:pt>
                <c:pt idx="14">
                  <c:v>25.130703431538812</c:v>
                </c:pt>
                <c:pt idx="15">
                  <c:v>25.14879683883893</c:v>
                </c:pt>
                <c:pt idx="16">
                  <c:v>25.761347760442153</c:v>
                </c:pt>
                <c:pt idx="17">
                  <c:v>27.283865448514987</c:v>
                </c:pt>
                <c:pt idx="18">
                  <c:v>27.90437739481705</c:v>
                </c:pt>
                <c:pt idx="19">
                  <c:v>33.70990604168157</c:v>
                </c:pt>
                <c:pt idx="20">
                  <c:v>33.965756682566422</c:v>
                </c:pt>
                <c:pt idx="21">
                  <c:v>34.324483700920439</c:v>
                </c:pt>
                <c:pt idx="22">
                  <c:v>37.069274219721507</c:v>
                </c:pt>
                <c:pt idx="23">
                  <c:v>42.921874344128248</c:v>
                </c:pt>
                <c:pt idx="24">
                  <c:v>44.634151496560754</c:v>
                </c:pt>
                <c:pt idx="25">
                  <c:v>44.863206777753547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AE-49DC-AAD2-0E559297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07950072"/>
        <c:axId val="307950464"/>
      </c:barChart>
      <c:catAx>
        <c:axId val="307950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307950464"/>
        <c:crosses val="autoZero"/>
        <c:auto val="1"/>
        <c:lblAlgn val="ctr"/>
        <c:lblOffset val="100"/>
        <c:noMultiLvlLbl val="0"/>
      </c:catAx>
      <c:valAx>
        <c:axId val="3079504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crossAx val="307950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"Оценка деятельности", I полугодие 2022г.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489715320299844"/>
          <c:y val="7.7604518459673713E-2"/>
          <c:w val="0.49510288870553965"/>
          <c:h val="0.907974410847577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'[!Динамика ИДН структура 2021 года.xlsx]Графики-рейтинг (1полуг.2022'!$F$123</c:f>
              <c:strCache>
                <c:ptCount val="1"/>
                <c:pt idx="0">
                  <c:v>ИОД 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6AE-4BD7-9770-2D93347BEDEC}"/>
              </c:ext>
            </c:extLst>
          </c:dPt>
          <c:dLbls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C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6AE-4BD7-9770-2D93347BED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'[!Динамика ИДН структура 2021 года.xlsx]Графики-рейтинг (1полуг.2022'!$B$124:$B$149</c:f>
              <c:strCache>
                <c:ptCount val="26"/>
                <c:pt idx="0">
                  <c:v>Министерство природных ресурсов, экологии и технического надзора </c:v>
                </c:pt>
                <c:pt idx="1">
                  <c:v>Министерство здравоохранения КР</c:v>
                </c:pt>
                <c:pt idx="2">
                  <c:v>Госагентство архитектуры, строительства и ЖКХ при Кабмине КР</c:v>
                </c:pt>
                <c:pt idx="3">
                  <c:v>Министерство транспорта и коммуникаций КР</c:v>
                </c:pt>
                <c:pt idx="4">
                  <c:v>Министерство экономики и коммерции КР </c:v>
                </c:pt>
                <c:pt idx="5">
                  <c:v>Министерство труда, социального обеспечения и миграции</c:v>
                </c:pt>
                <c:pt idx="6">
                  <c:v>Министерство юстиции КР </c:v>
                </c:pt>
                <c:pt idx="7">
                  <c:v>Министерство внутренних дел КР </c:v>
                </c:pt>
                <c:pt idx="8">
                  <c:v>Министерство финансов КР</c:v>
                </c:pt>
                <c:pt idx="9">
                  <c:v>Министерство сельского хозяйства КР  </c:v>
                </c:pt>
                <c:pt idx="10">
                  <c:v>Министерство образования и науки КР</c:v>
                </c:pt>
                <c:pt idx="11">
                  <c:v>Госагентство по защите персональных данных  при Кабмине КР</c:v>
                </c:pt>
                <c:pt idx="12">
                  <c:v>Кыргызская Республика</c:v>
                </c:pt>
                <c:pt idx="13">
                  <c:v>Госагентство по делам госслужбы и местного самоуправления при Кабмине КР</c:v>
                </c:pt>
                <c:pt idx="14">
                  <c:v>Госагентство интеллектуальной собственности и инноваций при Кабмине КР </c:v>
                </c:pt>
                <c:pt idx="15">
                  <c:v>Социальный фонд КР при Кабмине КР</c:v>
                </c:pt>
                <c:pt idx="16">
                  <c:v>Министерство иностранных дел КР </c:v>
                </c:pt>
                <c:pt idx="17">
                  <c:v>Министерство обороны КР</c:v>
                </c:pt>
                <c:pt idx="18">
                  <c:v>Министерство энергетики КР</c:v>
                </c:pt>
                <c:pt idx="19">
                  <c:v>Органы МСУ КР:  мэрии городов Бишкек, Ош</c:v>
                </c:pt>
                <c:pt idx="20">
                  <c:v>Министерство культуры, информации, спорта и молодежной политики КР   </c:v>
                </c:pt>
                <c:pt idx="21">
                  <c:v>Министерство цифрового развития КР</c:v>
                </c:pt>
                <c:pt idx="22">
                  <c:v>Министерство чрезвычайных ситуаций КР</c:v>
                </c:pt>
                <c:pt idx="23">
                  <c:v>Местная государственная администрация</c:v>
                </c:pt>
                <c:pt idx="24">
                  <c:v>Органы МСУ городов областного, районного значения и айылных аймаков</c:v>
                </c:pt>
                <c:pt idx="25">
                  <c:v>Аппараты Полномочных представителей Президента КР в областях</c:v>
                </c:pt>
              </c:strCache>
            </c:strRef>
          </c:cat>
          <c:val>
            <c:numRef>
              <c:f>'[!Динамика ИДН структура 2021 года.xlsx]Графики-рейтинг (1полуг.2022'!$F$124:$F$149</c:f>
              <c:numCache>
                <c:formatCode>0.0</c:formatCode>
                <c:ptCount val="26"/>
                <c:pt idx="0">
                  <c:v>21.965354422508913</c:v>
                </c:pt>
                <c:pt idx="1">
                  <c:v>22.960766789670441</c:v>
                </c:pt>
                <c:pt idx="2">
                  <c:v>23.65804094092481</c:v>
                </c:pt>
                <c:pt idx="3">
                  <c:v>24.661291909406959</c:v>
                </c:pt>
                <c:pt idx="4">
                  <c:v>28.189209471062462</c:v>
                </c:pt>
                <c:pt idx="5">
                  <c:v>28.194038667525479</c:v>
                </c:pt>
                <c:pt idx="6">
                  <c:v>28.540411616337074</c:v>
                </c:pt>
                <c:pt idx="7">
                  <c:v>29.325359061314352</c:v>
                </c:pt>
                <c:pt idx="8">
                  <c:v>29.656795494468447</c:v>
                </c:pt>
                <c:pt idx="9">
                  <c:v>29.786986682281356</c:v>
                </c:pt>
                <c:pt idx="10">
                  <c:v>31.735060911114957</c:v>
                </c:pt>
                <c:pt idx="11">
                  <c:v>32.212985386488043</c:v>
                </c:pt>
                <c:pt idx="12">
                  <c:v>33.569884263053439</c:v>
                </c:pt>
                <c:pt idx="13">
                  <c:v>34.064792655867365</c:v>
                </c:pt>
                <c:pt idx="14">
                  <c:v>35.268952959074291</c:v>
                </c:pt>
                <c:pt idx="15">
                  <c:v>35.476328604946012</c:v>
                </c:pt>
                <c:pt idx="16">
                  <c:v>36.97334912123241</c:v>
                </c:pt>
                <c:pt idx="17">
                  <c:v>37.150505104116995</c:v>
                </c:pt>
                <c:pt idx="18">
                  <c:v>37.60669553102273</c:v>
                </c:pt>
                <c:pt idx="19">
                  <c:v>39.188723548017052</c:v>
                </c:pt>
                <c:pt idx="20">
                  <c:v>41.984802874638618</c:v>
                </c:pt>
                <c:pt idx="21">
                  <c:v>42.177480729228236</c:v>
                </c:pt>
                <c:pt idx="22">
                  <c:v>42.840220361470102</c:v>
                </c:pt>
                <c:pt idx="23">
                  <c:v>46.604732648009033</c:v>
                </c:pt>
                <c:pt idx="24" formatCode="###0.0">
                  <c:v>47.910995598655248</c:v>
                </c:pt>
                <c:pt idx="25">
                  <c:v>48.456049414802649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AE-4BD7-9770-2D93347BED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06981792"/>
        <c:axId val="306982176"/>
      </c:barChart>
      <c:catAx>
        <c:axId val="306981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306982176"/>
        <c:crosses val="autoZero"/>
        <c:auto val="1"/>
        <c:lblAlgn val="ctr"/>
        <c:lblOffset val="100"/>
        <c:noMultiLvlLbl val="0"/>
      </c:catAx>
      <c:valAx>
        <c:axId val="30698217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30698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 Narrow" panose="020B060602020203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Samohleb</dc:creator>
  <cp:keywords/>
  <dc:description/>
  <cp:lastModifiedBy>Галина Самохлеб</cp:lastModifiedBy>
  <cp:revision>2</cp:revision>
  <dcterms:created xsi:type="dcterms:W3CDTF">2022-07-27T04:59:00Z</dcterms:created>
  <dcterms:modified xsi:type="dcterms:W3CDTF">2022-07-27T04:59:00Z</dcterms:modified>
</cp:coreProperties>
</file>