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1"/>
        <w:gridCol w:w="8253"/>
      </w:tblGrid>
      <w:tr w:rsidR="000775B1" w:rsidRPr="00F129EB" w:rsidTr="00C87723"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0775B1" w:rsidRPr="00F129EB" w:rsidRDefault="000775B1" w:rsidP="00C8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4AF45" wp14:editId="4984AB1B">
                  <wp:extent cx="778510" cy="778510"/>
                  <wp:effectExtent l="0" t="0" r="2540" b="2540"/>
                  <wp:docPr id="7" name="Рисунок 7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tcBorders>
              <w:bottom w:val="single" w:sz="4" w:space="0" w:color="auto"/>
            </w:tcBorders>
          </w:tcPr>
          <w:p w:rsidR="000775B1" w:rsidRPr="00FA4915" w:rsidRDefault="000775B1" w:rsidP="00C8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:rsidR="000775B1" w:rsidRPr="00631E65" w:rsidRDefault="000775B1" w:rsidP="00C8772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0775B1" w:rsidRPr="00631E65" w:rsidRDefault="000775B1" w:rsidP="00C8772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0775B1" w:rsidRPr="00F129EB" w:rsidRDefault="000775B1" w:rsidP="00C45896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C4589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 w:rsidR="00C4589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775B1" w:rsidRDefault="00006F0B" w:rsidP="000775B1">
      <w:pPr>
        <w:pStyle w:val="a3"/>
        <w:shd w:val="clear" w:color="auto" w:fill="FFFFFF"/>
        <w:spacing w:before="240" w:beforeAutospacing="0" w:after="120" w:afterAutospacing="0"/>
        <w:jc w:val="center"/>
        <w:rPr>
          <w:b/>
          <w:bCs/>
          <w:sz w:val="27"/>
          <w:szCs w:val="27"/>
          <w:lang w:val="ky-KG"/>
        </w:rPr>
      </w:pPr>
      <w:r>
        <w:rPr>
          <w:b/>
          <w:bCs/>
          <w:sz w:val="27"/>
          <w:szCs w:val="27"/>
          <w:lang w:val="ky-KG"/>
        </w:rPr>
        <w:t xml:space="preserve">Ички дүң продукт </w:t>
      </w:r>
      <w:r w:rsidR="006F101E">
        <w:rPr>
          <w:b/>
          <w:bCs/>
          <w:sz w:val="27"/>
          <w:szCs w:val="27"/>
          <w:lang w:val="ky-KG"/>
        </w:rPr>
        <w:t>5,3</w:t>
      </w:r>
      <w:r>
        <w:rPr>
          <w:b/>
          <w:bCs/>
          <w:sz w:val="27"/>
          <w:szCs w:val="27"/>
          <w:lang w:val="ky-KG"/>
        </w:rPr>
        <w:t xml:space="preserve"> пайызга өстү</w:t>
      </w:r>
    </w:p>
    <w:p w:rsidR="000775B1" w:rsidRPr="00AA7CAA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30D4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>-жыл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январ</w:t>
      </w:r>
      <w:r w:rsidR="00E34E7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C45896">
        <w:rPr>
          <w:rFonts w:ascii="Times New Roman" w:hAnsi="Times New Roman" w:cs="Times New Roman"/>
          <w:sz w:val="24"/>
          <w:szCs w:val="24"/>
          <w:lang w:val="ky-KG"/>
        </w:rPr>
        <w:t>март</w:t>
      </w:r>
      <w:r>
        <w:rPr>
          <w:rFonts w:ascii="Times New Roman" w:hAnsi="Times New Roman" w:cs="Times New Roman"/>
          <w:sz w:val="24"/>
          <w:szCs w:val="24"/>
          <w:lang w:val="ky-KG"/>
        </w:rPr>
        <w:t>ында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көлөмү алдын ала баалоолор боюнча,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F101E">
        <w:rPr>
          <w:rFonts w:ascii="Times New Roman" w:hAnsi="Times New Roman" w:cs="Times New Roman"/>
          <w:b/>
          <w:sz w:val="24"/>
          <w:szCs w:val="24"/>
          <w:lang w:val="ky-KG"/>
        </w:rPr>
        <w:t>104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миллиард сомд</w:t>
      </w:r>
      <w:r w:rsidR="006F101E">
        <w:rPr>
          <w:rFonts w:ascii="Times New Roman" w:hAnsi="Times New Roman" w:cs="Times New Roman"/>
          <w:b/>
          <w:sz w:val="24"/>
          <w:szCs w:val="24"/>
          <w:lang w:val="ky-KG"/>
        </w:rPr>
        <w:t>он ашы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өткөн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салыштыр</w:t>
      </w:r>
      <w:r w:rsidR="00EE67D1">
        <w:rPr>
          <w:rFonts w:ascii="Times New Roman" w:hAnsi="Times New Roman" w:cs="Times New Roman"/>
          <w:sz w:val="24"/>
          <w:szCs w:val="24"/>
          <w:lang w:val="ky-KG"/>
        </w:rPr>
        <w:t>малуу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7E35">
        <w:rPr>
          <w:rFonts w:ascii="Times New Roman" w:hAnsi="Times New Roman" w:cs="Times New Roman"/>
          <w:sz w:val="24"/>
          <w:szCs w:val="24"/>
          <w:lang w:val="ky-KG"/>
        </w:rPr>
        <w:t>5,3</w:t>
      </w:r>
      <w:r w:rsidRPr="00AA7CA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жогорулады. </w:t>
      </w:r>
    </w:p>
    <w:p w:rsidR="000775B1" w:rsidRPr="008F7E35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A7CAA">
        <w:rPr>
          <w:rFonts w:ascii="Times New Roman" w:hAnsi="Times New Roman" w:cs="Times New Roman"/>
          <w:sz w:val="24"/>
          <w:szCs w:val="24"/>
          <w:lang w:val="ky-KG"/>
        </w:rPr>
        <w:t xml:space="preserve">“Кумтөр” кен казуу ишканаларын эсепке албаганда, </w:t>
      </w:r>
      <w:r w:rsidR="00255555">
        <w:rPr>
          <w:rFonts w:ascii="Times New Roman" w:hAnsi="Times New Roman" w:cs="Times New Roman"/>
          <w:sz w:val="24"/>
          <w:szCs w:val="24"/>
          <w:lang w:val="ky-KG"/>
        </w:rPr>
        <w:t>2019-жылдын январ-</w:t>
      </w:r>
      <w:r w:rsidR="00C45896"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255555">
        <w:rPr>
          <w:rFonts w:ascii="Times New Roman" w:hAnsi="Times New Roman" w:cs="Times New Roman"/>
          <w:sz w:val="24"/>
          <w:szCs w:val="24"/>
          <w:lang w:val="ky-KG"/>
        </w:rPr>
        <w:t xml:space="preserve">ында, </w:t>
      </w:r>
      <w:r w:rsidRPr="00AA7CAA">
        <w:rPr>
          <w:rFonts w:ascii="Times New Roman" w:hAnsi="Times New Roman" w:cs="Times New Roman"/>
          <w:sz w:val="24"/>
          <w:szCs w:val="24"/>
          <w:lang w:val="ky-KG"/>
        </w:rPr>
        <w:t>ички дүң продуктунун көлөмү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7E35">
        <w:rPr>
          <w:rFonts w:ascii="Times New Roman" w:hAnsi="Times New Roman" w:cs="Times New Roman"/>
          <w:sz w:val="24"/>
          <w:szCs w:val="24"/>
          <w:lang w:val="ky-KG"/>
        </w:rPr>
        <w:t>91</w:t>
      </w:r>
      <w:r w:rsidRPr="00AA7CAA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8F7E35">
        <w:rPr>
          <w:rFonts w:ascii="Times New Roman" w:hAnsi="Times New Roman" w:cs="Times New Roman"/>
          <w:sz w:val="24"/>
          <w:szCs w:val="24"/>
          <w:lang w:val="ky-KG"/>
        </w:rPr>
        <w:t>го жакынды түзү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AA7CAA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4D72EC" w:rsidRPr="004D72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>өткөн</w:t>
      </w:r>
      <w:r w:rsidR="004D72EC"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жыл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="004D72EC"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салыштыр</w:t>
      </w:r>
      <w:r w:rsidR="0074167D">
        <w:rPr>
          <w:rFonts w:ascii="Times New Roman" w:hAnsi="Times New Roman" w:cs="Times New Roman"/>
          <w:sz w:val="24"/>
          <w:szCs w:val="24"/>
          <w:lang w:val="ky-KG"/>
        </w:rPr>
        <w:t>малуу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7E35" w:rsidRPr="008F7E35">
        <w:rPr>
          <w:rFonts w:ascii="Times New Roman" w:hAnsi="Times New Roman" w:cs="Times New Roman"/>
          <w:b/>
          <w:sz w:val="24"/>
          <w:szCs w:val="24"/>
          <w:lang w:val="ky-KG"/>
        </w:rPr>
        <w:t>1,4</w:t>
      </w:r>
      <w:r w:rsidR="004D72EC" w:rsidRPr="008F7E3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</w:t>
      </w:r>
      <w:r w:rsidRPr="008F7E3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өстү.</w:t>
      </w:r>
    </w:p>
    <w:p w:rsidR="000775B1" w:rsidRPr="002161E6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Pr="00C52A0B" w:rsidRDefault="000775B1" w:rsidP="000775B1">
      <w:pPr>
        <w:spacing w:after="120"/>
        <w:ind w:firstLine="709"/>
        <w:jc w:val="center"/>
        <w:rPr>
          <w:rFonts w:ascii="Times New Roman" w:hAnsi="Times New Roman" w:cs="Times New Roman"/>
          <w:lang w:val="ky-KG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lang w:val="ky-KG"/>
        </w:rPr>
        <w:t>Ички дүң</w:t>
      </w:r>
      <w:r w:rsidRPr="00C52A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продукт</w:t>
      </w:r>
      <w:r w:rsidRPr="00C52A0B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C52A0B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Pr="00C52A0B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:rsidR="00C45896" w:rsidRPr="009D54DA" w:rsidRDefault="00653AA8" w:rsidP="000775B1">
      <w:pPr>
        <w:spacing w:after="0" w:line="240" w:lineRule="auto"/>
        <w:ind w:firstLine="709"/>
        <w:jc w:val="center"/>
        <w:rPr>
          <w:noProof/>
          <w:lang w:val="ky-KG" w:eastAsia="ru-RU"/>
        </w:rPr>
      </w:pPr>
      <w:r w:rsidRPr="000F6D86">
        <w:rPr>
          <w:noProof/>
          <w:lang w:eastAsia="ru-RU"/>
        </w:rPr>
        <w:drawing>
          <wp:inline distT="0" distB="0" distL="0" distR="0">
            <wp:extent cx="4381079" cy="1873885"/>
            <wp:effectExtent l="0" t="0" r="63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E7C" w:rsidRPr="0025492D" w:rsidRDefault="00E34E7C" w:rsidP="000775B1">
      <w:pPr>
        <w:spacing w:after="0" w:line="240" w:lineRule="auto"/>
        <w:ind w:firstLine="709"/>
        <w:jc w:val="center"/>
        <w:rPr>
          <w:rFonts w:eastAsia="Calibri"/>
          <w:noProof/>
          <w:lang w:val="ky-KG" w:eastAsia="ru-RU"/>
        </w:rPr>
      </w:pPr>
    </w:p>
    <w:p w:rsidR="000775B1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5E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>продукциясынын көлөмү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>-жыл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январ</w:t>
      </w:r>
      <w:r w:rsidR="00E34E7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C45896">
        <w:rPr>
          <w:rFonts w:ascii="Times New Roman" w:hAnsi="Times New Roman" w:cs="Times New Roman"/>
          <w:sz w:val="24"/>
          <w:szCs w:val="24"/>
          <w:lang w:val="ky-KG"/>
        </w:rPr>
        <w:t>март</w:t>
      </w:r>
      <w:r>
        <w:rPr>
          <w:rFonts w:ascii="Times New Roman" w:hAnsi="Times New Roman" w:cs="Times New Roman"/>
          <w:sz w:val="24"/>
          <w:szCs w:val="24"/>
          <w:lang w:val="ky-KG"/>
        </w:rPr>
        <w:t>ында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70E4C">
        <w:rPr>
          <w:rFonts w:ascii="Times New Roman" w:hAnsi="Times New Roman" w:cs="Times New Roman"/>
          <w:sz w:val="24"/>
          <w:szCs w:val="24"/>
          <w:lang w:val="ky-KG"/>
        </w:rPr>
        <w:t>64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>
        <w:rPr>
          <w:rFonts w:ascii="Times New Roman" w:hAnsi="Times New Roman" w:cs="Times New Roman"/>
          <w:sz w:val="24"/>
          <w:szCs w:val="24"/>
          <w:lang w:val="ky-KG"/>
        </w:rPr>
        <w:t>дон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ашы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п, мурунку жылга салыштырмалуу </w:t>
      </w:r>
      <w:r w:rsidR="00470E4C">
        <w:rPr>
          <w:rFonts w:ascii="Times New Roman" w:hAnsi="Times New Roman" w:cs="Times New Roman"/>
          <w:sz w:val="24"/>
          <w:szCs w:val="24"/>
          <w:lang w:val="ky-KG"/>
        </w:rPr>
        <w:t>14,2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  <w:r>
        <w:rPr>
          <w:rFonts w:ascii="Times New Roman" w:hAnsi="Times New Roman" w:cs="Times New Roman"/>
          <w:sz w:val="24"/>
          <w:szCs w:val="24"/>
          <w:lang w:val="ky-KG"/>
        </w:rPr>
        <w:t>Өнөр жай продукциясынын өсүшү металл рудаларын казып алуунун (</w:t>
      </w:r>
      <w:r w:rsidR="00470E4C">
        <w:rPr>
          <w:rFonts w:ascii="Times New Roman" w:hAnsi="Times New Roman" w:cs="Times New Roman"/>
          <w:sz w:val="24"/>
          <w:szCs w:val="24"/>
          <w:lang w:val="ky-KG"/>
        </w:rPr>
        <w:t>2,2</w:t>
      </w:r>
      <w:r w:rsidR="009D54DA">
        <w:rPr>
          <w:rFonts w:ascii="Times New Roman" w:hAnsi="Times New Roman" w:cs="Times New Roman"/>
          <w:sz w:val="24"/>
          <w:szCs w:val="24"/>
          <w:lang w:val="ky-KG"/>
        </w:rPr>
        <w:t xml:space="preserve"> эсеге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пайызга), көмүрдү өндүрүүнүн (</w:t>
      </w:r>
      <w:r w:rsidR="00470E4C">
        <w:rPr>
          <w:rFonts w:ascii="Times New Roman" w:hAnsi="Times New Roman" w:cs="Times New Roman"/>
          <w:sz w:val="24"/>
          <w:szCs w:val="24"/>
          <w:lang w:val="ky-KG"/>
        </w:rPr>
        <w:t>29,5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пайызга), мунайзат жана жаратылыш газынын (</w:t>
      </w:r>
      <w:r w:rsidR="00033DCC">
        <w:rPr>
          <w:rFonts w:ascii="Times New Roman" w:hAnsi="Times New Roman" w:cs="Times New Roman"/>
          <w:sz w:val="24"/>
          <w:szCs w:val="24"/>
          <w:lang w:val="ky-KG"/>
        </w:rPr>
        <w:t>16,9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пайызга), негизги металлдарды өндүрүүнүн (</w:t>
      </w:r>
      <w:r w:rsidR="00033DCC">
        <w:rPr>
          <w:rFonts w:ascii="Times New Roman" w:hAnsi="Times New Roman" w:cs="Times New Roman"/>
          <w:sz w:val="24"/>
          <w:szCs w:val="24"/>
          <w:lang w:val="ky-KG"/>
        </w:rPr>
        <w:t>40,1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</w:t>
      </w:r>
      <w:r w:rsidR="00FE7820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кийимдерди</w:t>
      </w:r>
      <w:r w:rsidR="00EC4040">
        <w:rPr>
          <w:rFonts w:ascii="Times New Roman" w:hAnsi="Times New Roman" w:cs="Times New Roman"/>
          <w:sz w:val="24"/>
          <w:szCs w:val="24"/>
          <w:lang w:val="ky-KG"/>
        </w:rPr>
        <w:t xml:space="preserve"> өндүрүү</w:t>
      </w:r>
      <w:r>
        <w:rPr>
          <w:rFonts w:ascii="Times New Roman" w:hAnsi="Times New Roman" w:cs="Times New Roman"/>
          <w:sz w:val="24"/>
          <w:szCs w:val="24"/>
          <w:lang w:val="ky-KG"/>
        </w:rPr>
        <w:t>нүн</w:t>
      </w:r>
      <w:r w:rsidR="00033DCC">
        <w:rPr>
          <w:rFonts w:ascii="Times New Roman" w:hAnsi="Times New Roman" w:cs="Times New Roman"/>
          <w:sz w:val="24"/>
          <w:szCs w:val="24"/>
          <w:lang w:val="ky-KG"/>
        </w:rPr>
        <w:t xml:space="preserve"> (29,2 пайызга)</w:t>
      </w:r>
      <w:r w:rsidR="00D944E0">
        <w:rPr>
          <w:rFonts w:ascii="Times New Roman" w:hAnsi="Times New Roman" w:cs="Times New Roman"/>
          <w:sz w:val="24"/>
          <w:szCs w:val="24"/>
          <w:lang w:val="ky-KG"/>
        </w:rPr>
        <w:t>, ошондой эле башка металл эмес минералдык продуктулардын (9,3 пайызга)</w:t>
      </w:r>
      <w:r w:rsidR="00033D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өсүшүнүн эсебинен камсыздалды.</w:t>
      </w:r>
    </w:p>
    <w:p w:rsidR="000775B1" w:rsidRPr="0047453D" w:rsidRDefault="000775B1" w:rsidP="000775B1">
      <w:pPr>
        <w:shd w:val="clear" w:color="auto" w:fill="FFFFFF"/>
        <w:spacing w:before="120" w:after="0"/>
        <w:ind w:right="142"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7453D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47453D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Pr="0047453D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:rsidR="00576B0E" w:rsidRPr="006F101E" w:rsidRDefault="00576B0E" w:rsidP="000775B1">
      <w:pPr>
        <w:spacing w:after="0" w:line="240" w:lineRule="auto"/>
        <w:ind w:firstLine="709"/>
        <w:jc w:val="center"/>
        <w:rPr>
          <w:noProof/>
          <w:lang w:val="ky-KG" w:eastAsia="ru-RU"/>
        </w:rPr>
      </w:pPr>
    </w:p>
    <w:p w:rsidR="00C45896" w:rsidRPr="009D54DA" w:rsidRDefault="00653AA8" w:rsidP="000775B1">
      <w:pPr>
        <w:spacing w:after="0" w:line="240" w:lineRule="auto"/>
        <w:ind w:firstLine="709"/>
        <w:jc w:val="center"/>
        <w:rPr>
          <w:noProof/>
          <w:lang w:val="ky-KG" w:eastAsia="ru-RU"/>
        </w:rPr>
      </w:pPr>
      <w:bookmarkStart w:id="2" w:name="OLE_LINK3"/>
      <w:bookmarkStart w:id="3" w:name="OLE_LINK6"/>
      <w:r w:rsidRPr="000F6D86">
        <w:rPr>
          <w:noProof/>
          <w:lang w:eastAsia="ru-RU"/>
        </w:rPr>
        <w:drawing>
          <wp:inline distT="0" distB="0" distL="0" distR="0">
            <wp:extent cx="5239568" cy="210883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2"/>
      <w:bookmarkEnd w:id="3"/>
    </w:p>
    <w:p w:rsidR="00576B0E" w:rsidRDefault="00576B0E" w:rsidP="000775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Айыл чарбасында 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реалдуу өсүү </w:t>
      </w:r>
      <w:r w:rsidR="00D944E0">
        <w:rPr>
          <w:rFonts w:ascii="Times New Roman" w:hAnsi="Times New Roman" w:cs="Times New Roman"/>
          <w:b/>
          <w:sz w:val="24"/>
          <w:szCs w:val="24"/>
          <w:lang w:val="ky-KG"/>
        </w:rPr>
        <w:t>1,8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пайызды, курулушта өсүү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004ABB">
        <w:rPr>
          <w:rFonts w:ascii="Times New Roman" w:hAnsi="Times New Roman" w:cs="Times New Roman"/>
          <w:b/>
          <w:sz w:val="24"/>
          <w:szCs w:val="24"/>
          <w:lang w:val="ky-KG"/>
        </w:rPr>
        <w:t>3,1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ошондой эле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дүң жана чекене соодада өсүү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B0F19">
        <w:rPr>
          <w:rFonts w:ascii="Times New Roman" w:hAnsi="Times New Roman" w:cs="Times New Roman"/>
          <w:b/>
          <w:sz w:val="24"/>
          <w:szCs w:val="24"/>
          <w:lang w:val="ky-KG"/>
        </w:rPr>
        <w:t>4,2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 түзүп</w:t>
      </w:r>
      <w:r>
        <w:rPr>
          <w:rFonts w:ascii="Times New Roman" w:hAnsi="Times New Roman" w:cs="Times New Roman"/>
          <w:sz w:val="24"/>
          <w:szCs w:val="24"/>
          <w:lang w:val="ky-KG"/>
        </w:rPr>
        <w:t>, оң тенденциялар байкалган.</w:t>
      </w:r>
    </w:p>
    <w:p w:rsidR="00361750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22B7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Керектөө чөйрөсүндө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>-жылдын</w:t>
      </w:r>
      <w:r w:rsidR="0036175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45896"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ында </w:t>
      </w:r>
      <w:r w:rsidR="00361750">
        <w:rPr>
          <w:rFonts w:ascii="Times New Roman" w:hAnsi="Times New Roman" w:cs="Times New Roman"/>
          <w:sz w:val="24"/>
          <w:szCs w:val="24"/>
          <w:lang w:val="ky-KG"/>
        </w:rPr>
        <w:t xml:space="preserve">өткөн жылдын ушул мезгилине салыштырмалуу </w:t>
      </w:r>
      <w:r w:rsidR="00E202B5">
        <w:rPr>
          <w:rFonts w:ascii="Times New Roman" w:hAnsi="Times New Roman" w:cs="Times New Roman"/>
          <w:sz w:val="24"/>
          <w:szCs w:val="24"/>
          <w:lang w:val="ky-KG"/>
        </w:rPr>
        <w:t>керектөө товарларына жана кызматтарына баалар жана тарифтер өгөрүүсүз сакталды.</w:t>
      </w:r>
    </w:p>
    <w:p w:rsidR="00E202B5" w:rsidRDefault="00E202B5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Мунун ичинде, </w:t>
      </w:r>
      <w:r w:rsidR="00453200">
        <w:rPr>
          <w:rFonts w:ascii="Times New Roman" w:hAnsi="Times New Roman" w:cs="Times New Roman"/>
          <w:sz w:val="24"/>
          <w:szCs w:val="24"/>
          <w:lang w:val="ky-KG"/>
        </w:rPr>
        <w:t xml:space="preserve">баалар азык-түлүк продуктуларына жана алкоголсуз суусундуктарга 0,4 пайызга, тамеки заттарына 11,6 пайызга жогорулаган, ошол эле мезгилде </w:t>
      </w:r>
      <w:r w:rsidR="0078407B">
        <w:rPr>
          <w:rFonts w:ascii="Times New Roman" w:hAnsi="Times New Roman" w:cs="Times New Roman"/>
          <w:sz w:val="24"/>
          <w:szCs w:val="24"/>
          <w:lang w:val="ky-KG"/>
        </w:rPr>
        <w:t>баалардын төмөндөөсү азык-түлүк эмес товарларга 1,2 пайызга, кызматтарга 0,8 пайызга жана алкоголдук ичимдиктерге 0,1 пайызга байкалган.</w:t>
      </w:r>
    </w:p>
    <w:p w:rsidR="00D839C1" w:rsidRDefault="00D839C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Аймактар боюнча</w:t>
      </w:r>
      <w:r w:rsidR="0086085A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үстүбүздөгү жылдын март айында өткөн жылдын </w:t>
      </w:r>
      <w:r w:rsidR="00B31F67">
        <w:rPr>
          <w:rFonts w:ascii="Times New Roman" w:hAnsi="Times New Roman" w:cs="Times New Roman"/>
          <w:sz w:val="24"/>
          <w:szCs w:val="24"/>
          <w:lang w:val="ky-KG"/>
        </w:rPr>
        <w:t>декабр айына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салыштырмалуу, </w:t>
      </w:r>
      <w:r w:rsidR="00B31F67">
        <w:rPr>
          <w:rFonts w:ascii="Times New Roman" w:hAnsi="Times New Roman" w:cs="Times New Roman"/>
          <w:sz w:val="24"/>
          <w:szCs w:val="24"/>
          <w:lang w:val="ky-KG"/>
        </w:rPr>
        <w:t xml:space="preserve">керектөө бааларынын жана тарифтердин эң көп жогорулоосу </w:t>
      </w:r>
      <w:r w:rsidR="00637D4D">
        <w:rPr>
          <w:rFonts w:ascii="Times New Roman" w:hAnsi="Times New Roman" w:cs="Times New Roman"/>
          <w:sz w:val="24"/>
          <w:szCs w:val="24"/>
          <w:lang w:val="ky-KG"/>
        </w:rPr>
        <w:t xml:space="preserve">Чүй жана Нарын облустарында 0,7 пайызга белгиленген, башка облустарга салыштырмалуу </w:t>
      </w:r>
      <w:r w:rsidR="00DE77D8">
        <w:rPr>
          <w:rFonts w:ascii="Times New Roman" w:hAnsi="Times New Roman" w:cs="Times New Roman"/>
          <w:sz w:val="24"/>
          <w:szCs w:val="24"/>
          <w:lang w:val="ky-KG"/>
        </w:rPr>
        <w:t xml:space="preserve">бул облустарда </w:t>
      </w:r>
      <w:r w:rsidR="00905998">
        <w:rPr>
          <w:rFonts w:ascii="Times New Roman" w:hAnsi="Times New Roman" w:cs="Times New Roman"/>
          <w:sz w:val="24"/>
          <w:szCs w:val="24"/>
          <w:lang w:val="ky-KG"/>
        </w:rPr>
        <w:t xml:space="preserve">баалардын азык түлүк продуктуларына 2,1 пайызга жана алкоголсуз суусундуктарга </w:t>
      </w:r>
      <w:r w:rsidR="00CD2D61">
        <w:rPr>
          <w:rFonts w:ascii="Times New Roman" w:hAnsi="Times New Roman" w:cs="Times New Roman"/>
          <w:sz w:val="24"/>
          <w:szCs w:val="24"/>
          <w:lang w:val="ky-KG"/>
        </w:rPr>
        <w:t xml:space="preserve">1,9 пайызга жогорулаганы байкалган. </w:t>
      </w:r>
      <w:r w:rsidR="003617F6">
        <w:rPr>
          <w:rFonts w:ascii="Times New Roman" w:hAnsi="Times New Roman" w:cs="Times New Roman"/>
          <w:sz w:val="24"/>
          <w:szCs w:val="24"/>
          <w:lang w:val="ky-KG"/>
        </w:rPr>
        <w:t xml:space="preserve">Ушуну менен бир катарда, үстүбүздөгү жылдын январ-мартында керектөө бааларынын Ош шаарында 0,6 пайызга, </w:t>
      </w:r>
      <w:r w:rsidR="00D2634E">
        <w:rPr>
          <w:rFonts w:ascii="Times New Roman" w:hAnsi="Times New Roman" w:cs="Times New Roman"/>
          <w:sz w:val="24"/>
          <w:szCs w:val="24"/>
          <w:lang w:val="ky-KG"/>
        </w:rPr>
        <w:t>Ош облусунда 0,5 пайызга жана Баткен облусунда 0,1 пайызга төмөндөөсү белгиленген.</w:t>
      </w:r>
    </w:p>
    <w:p w:rsidR="000775B1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Республиканын </w:t>
      </w:r>
      <w:r w:rsidRPr="00322B73">
        <w:rPr>
          <w:rFonts w:ascii="Times New Roman" w:hAnsi="Times New Roman" w:cs="Times New Roman"/>
          <w:b/>
          <w:sz w:val="24"/>
          <w:szCs w:val="24"/>
          <w:lang w:val="ky-KG"/>
        </w:rPr>
        <w:t>тышкы соода ишмердиги</w:t>
      </w:r>
      <w:r w:rsidR="007F0B02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алдын ала маалыматтар боюнча 201</w:t>
      </w:r>
      <w:r w:rsidR="005B2606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>-жылдын январ</w:t>
      </w:r>
      <w:r w:rsidR="00AC7B75">
        <w:rPr>
          <w:rFonts w:ascii="Times New Roman" w:hAnsi="Times New Roman" w:cs="Times New Roman"/>
          <w:sz w:val="24"/>
          <w:szCs w:val="24"/>
          <w:lang w:val="ky-KG"/>
        </w:rPr>
        <w:t>-ферал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ында тышкы соода жүгүртүүнүн көлөмү </w:t>
      </w:r>
      <w:r w:rsidR="00CF0F80">
        <w:rPr>
          <w:rFonts w:ascii="Times New Roman" w:hAnsi="Times New Roman" w:cs="Times New Roman"/>
          <w:sz w:val="24"/>
          <w:szCs w:val="24"/>
          <w:lang w:val="ky-KG"/>
        </w:rPr>
        <w:t>885</w:t>
      </w:r>
      <w:r w:rsidRPr="00AA2BF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милли</w:t>
      </w:r>
      <w:r w:rsidR="002C7B32">
        <w:rPr>
          <w:rFonts w:ascii="Times New Roman" w:hAnsi="Times New Roman" w:cs="Times New Roman"/>
          <w:b/>
          <w:sz w:val="24"/>
          <w:szCs w:val="24"/>
          <w:lang w:val="ky-KG"/>
        </w:rPr>
        <w:t>он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</w:t>
      </w:r>
      <w:r w:rsidR="00CF0F80">
        <w:rPr>
          <w:rFonts w:ascii="Times New Roman" w:hAnsi="Times New Roman" w:cs="Times New Roman"/>
          <w:sz w:val="24"/>
          <w:szCs w:val="24"/>
          <w:lang w:val="ky-KG"/>
        </w:rPr>
        <w:t>а жакынды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түзүп, 201</w:t>
      </w:r>
      <w:r w:rsidR="002C7B32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январ</w:t>
      </w:r>
      <w:r w:rsidR="00AC7B75">
        <w:rPr>
          <w:rFonts w:ascii="Times New Roman" w:hAnsi="Times New Roman" w:cs="Times New Roman"/>
          <w:sz w:val="24"/>
          <w:szCs w:val="24"/>
          <w:lang w:val="ky-KG"/>
        </w:rPr>
        <w:t>-феврал</w:t>
      </w:r>
      <w:r>
        <w:rPr>
          <w:rFonts w:ascii="Times New Roman" w:hAnsi="Times New Roman" w:cs="Times New Roman"/>
          <w:sz w:val="24"/>
          <w:szCs w:val="24"/>
          <w:lang w:val="ky-KG"/>
        </w:rPr>
        <w:t>ына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салыштырмалуу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F0F80">
        <w:rPr>
          <w:rFonts w:ascii="Times New Roman" w:hAnsi="Times New Roman" w:cs="Times New Roman"/>
          <w:sz w:val="24"/>
          <w:szCs w:val="24"/>
          <w:lang w:val="ky-KG"/>
        </w:rPr>
        <w:t>11,1</w:t>
      </w:r>
      <w:r w:rsidRPr="00AA2BF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4F5850">
        <w:rPr>
          <w:rFonts w:ascii="Times New Roman" w:hAnsi="Times New Roman" w:cs="Times New Roman"/>
          <w:b/>
          <w:sz w:val="24"/>
          <w:szCs w:val="24"/>
          <w:lang w:val="ky-KG"/>
        </w:rPr>
        <w:t>төмөндөгөн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. Ошону менен бирге, </w:t>
      </w:r>
      <w:r>
        <w:rPr>
          <w:rFonts w:ascii="Times New Roman" w:hAnsi="Times New Roman" w:cs="Times New Roman"/>
          <w:sz w:val="24"/>
          <w:szCs w:val="24"/>
          <w:lang w:val="ky-KG"/>
        </w:rPr>
        <w:t>импорттук  келип түшүүлөр</w:t>
      </w:r>
      <w:r w:rsidR="00CF0F80">
        <w:rPr>
          <w:rFonts w:ascii="Times New Roman" w:hAnsi="Times New Roman" w:cs="Times New Roman"/>
          <w:sz w:val="24"/>
          <w:szCs w:val="24"/>
          <w:lang w:val="ky-KG"/>
        </w:rPr>
        <w:t xml:space="preserve"> 14,5</w:t>
      </w:r>
      <w:r w:rsidR="00294FF2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ал эми экспорттук коюулар </w:t>
      </w:r>
      <w:r w:rsidR="006C0FD2">
        <w:rPr>
          <w:rFonts w:ascii="Times New Roman" w:hAnsi="Times New Roman" w:cs="Times New Roman"/>
          <w:sz w:val="24"/>
          <w:szCs w:val="24"/>
          <w:lang w:val="ky-KG"/>
        </w:rPr>
        <w:t>0,3</w:t>
      </w:r>
      <w:r w:rsidR="00294FF2">
        <w:rPr>
          <w:rFonts w:ascii="Times New Roman" w:hAnsi="Times New Roman" w:cs="Times New Roman"/>
          <w:sz w:val="24"/>
          <w:szCs w:val="24"/>
          <w:lang w:val="ky-KG"/>
        </w:rPr>
        <w:t xml:space="preserve"> пайызга кыскарган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775B1" w:rsidRPr="00322B73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Pr="00A700C3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700C3">
        <w:rPr>
          <w:rFonts w:ascii="Times New Roman" w:hAnsi="Times New Roman" w:cs="Times New Roman"/>
          <w:b/>
          <w:sz w:val="24"/>
          <w:szCs w:val="24"/>
          <w:lang w:val="ky-KG"/>
        </w:rPr>
        <w:t>ЕАЭБке мүчө мамлекеттер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менен</w:t>
      </w:r>
      <w:r w:rsidR="007F0B0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2C7B3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>-жылдын январ</w:t>
      </w:r>
      <w:r w:rsidR="007A4AC9">
        <w:rPr>
          <w:rFonts w:ascii="Times New Roman" w:hAnsi="Times New Roman" w:cs="Times New Roman"/>
          <w:sz w:val="24"/>
          <w:szCs w:val="24"/>
          <w:lang w:val="ky-KG"/>
        </w:rPr>
        <w:t>-феврал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ында </w:t>
      </w:r>
      <w:r w:rsidR="0016502F">
        <w:rPr>
          <w:rFonts w:ascii="Times New Roman" w:hAnsi="Times New Roman" w:cs="Times New Roman"/>
          <w:sz w:val="24"/>
          <w:szCs w:val="24"/>
          <w:lang w:val="ky-KG"/>
        </w:rPr>
        <w:t>өз ара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соода жүгүртүүнүн көлөмү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C0FD2">
        <w:rPr>
          <w:rFonts w:ascii="Times New Roman" w:hAnsi="Times New Roman" w:cs="Times New Roman"/>
          <w:sz w:val="24"/>
          <w:szCs w:val="24"/>
          <w:lang w:val="ky-KG"/>
        </w:rPr>
        <w:t>306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милли</w:t>
      </w:r>
      <w:r w:rsidR="000563BC">
        <w:rPr>
          <w:rFonts w:ascii="Times New Roman" w:hAnsi="Times New Roman" w:cs="Times New Roman"/>
          <w:sz w:val="24"/>
          <w:szCs w:val="24"/>
          <w:lang w:val="ky-KG"/>
        </w:rPr>
        <w:t>он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</w:t>
      </w:r>
      <w:r w:rsidR="006C0FD2">
        <w:rPr>
          <w:rFonts w:ascii="Times New Roman" w:hAnsi="Times New Roman" w:cs="Times New Roman"/>
          <w:sz w:val="24"/>
          <w:szCs w:val="24"/>
          <w:lang w:val="ky-KG"/>
        </w:rPr>
        <w:t>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C0FD2">
        <w:rPr>
          <w:rFonts w:ascii="Times New Roman" w:hAnsi="Times New Roman" w:cs="Times New Roman"/>
          <w:sz w:val="24"/>
          <w:szCs w:val="24"/>
          <w:lang w:val="ky-KG"/>
        </w:rPr>
        <w:t>ашы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п, </w:t>
      </w:r>
      <w:r w:rsidR="00A6442A">
        <w:rPr>
          <w:rFonts w:ascii="Times New Roman" w:hAnsi="Times New Roman" w:cs="Times New Roman"/>
          <w:sz w:val="24"/>
          <w:szCs w:val="24"/>
          <w:lang w:val="ky-KG"/>
        </w:rPr>
        <w:t>2018-жылдын январ</w:t>
      </w:r>
      <w:r w:rsidR="007A4AC9">
        <w:rPr>
          <w:rFonts w:ascii="Times New Roman" w:hAnsi="Times New Roman" w:cs="Times New Roman"/>
          <w:sz w:val="24"/>
          <w:szCs w:val="24"/>
          <w:lang w:val="ky-KG"/>
        </w:rPr>
        <w:t>-феврал</w:t>
      </w:r>
      <w:r w:rsidR="007F0B02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A6442A">
        <w:rPr>
          <w:rFonts w:ascii="Times New Roman" w:hAnsi="Times New Roman" w:cs="Times New Roman"/>
          <w:sz w:val="24"/>
          <w:szCs w:val="24"/>
          <w:lang w:val="ky-KG"/>
        </w:rPr>
        <w:t xml:space="preserve">на салыштырмалуу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C0FD2">
        <w:rPr>
          <w:rFonts w:ascii="Times New Roman" w:hAnsi="Times New Roman" w:cs="Times New Roman"/>
          <w:sz w:val="24"/>
          <w:szCs w:val="24"/>
          <w:lang w:val="ky-KG"/>
        </w:rPr>
        <w:t>10,7</w:t>
      </w:r>
      <w:r w:rsidR="00BE1A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пайызга төмөндөгөн. Анын ичинде, </w:t>
      </w:r>
      <w:r w:rsidRPr="00803A6B">
        <w:rPr>
          <w:rFonts w:ascii="Times New Roman" w:hAnsi="Times New Roman" w:cs="Times New Roman"/>
          <w:sz w:val="24"/>
          <w:szCs w:val="24"/>
          <w:lang w:val="ky-KG"/>
        </w:rPr>
        <w:t xml:space="preserve">экспорт </w:t>
      </w:r>
      <w:r w:rsidR="00A96C49">
        <w:rPr>
          <w:rFonts w:ascii="Times New Roman" w:hAnsi="Times New Roman" w:cs="Times New Roman"/>
          <w:sz w:val="24"/>
          <w:szCs w:val="24"/>
          <w:lang w:val="ky-KG"/>
        </w:rPr>
        <w:t>24,8</w:t>
      </w:r>
      <w:r w:rsidR="00803A6B" w:rsidRPr="00803A6B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, ал эми импорт </w:t>
      </w:r>
      <w:r w:rsidR="00A96C49">
        <w:rPr>
          <w:rFonts w:ascii="Times New Roman" w:hAnsi="Times New Roman" w:cs="Times New Roman"/>
          <w:sz w:val="24"/>
          <w:szCs w:val="24"/>
          <w:lang w:val="ky-KG"/>
        </w:rPr>
        <w:t>4,9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пайызга </w:t>
      </w:r>
      <w:r w:rsidR="00803A6B">
        <w:rPr>
          <w:rFonts w:ascii="Times New Roman" w:hAnsi="Times New Roman" w:cs="Times New Roman"/>
          <w:sz w:val="24"/>
          <w:szCs w:val="24"/>
          <w:lang w:val="ky-KG"/>
        </w:rPr>
        <w:t>төмөндөгөн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0775B1" w:rsidRPr="00A700C3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700C3">
        <w:rPr>
          <w:rFonts w:ascii="Times New Roman" w:hAnsi="Times New Roman" w:cs="Times New Roman"/>
          <w:sz w:val="24"/>
          <w:szCs w:val="24"/>
          <w:lang w:val="ky-KG"/>
        </w:rPr>
        <w:t>ЕАЭ</w:t>
      </w:r>
      <w:r w:rsidR="007F0B02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мүчө-мамлекеттер менен республиканын соода жүгүртүүсүндө эң чоң үлүштөр Россия менен </w:t>
      </w:r>
      <w:r w:rsidR="000348D7">
        <w:rPr>
          <w:rFonts w:ascii="Times New Roman" w:hAnsi="Times New Roman" w:cs="Times New Roman"/>
          <w:sz w:val="24"/>
          <w:szCs w:val="24"/>
          <w:lang w:val="ky-KG"/>
        </w:rPr>
        <w:t>58,1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пайызды жана Казахстан менен </w:t>
      </w:r>
      <w:r w:rsidR="000348D7">
        <w:rPr>
          <w:rFonts w:ascii="Times New Roman" w:hAnsi="Times New Roman" w:cs="Times New Roman"/>
          <w:sz w:val="24"/>
          <w:szCs w:val="24"/>
          <w:lang w:val="ky-KG"/>
        </w:rPr>
        <w:t>40,4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пайызд</w:t>
      </w:r>
      <w:r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түзгөн. </w:t>
      </w:r>
    </w:p>
    <w:p w:rsidR="000775B1" w:rsidRPr="00E86584" w:rsidRDefault="000775B1" w:rsidP="000775B1">
      <w:pPr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менен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өз ара соодасы</w:t>
      </w:r>
      <w:r w:rsidRPr="00E86584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E86584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Pr="00E86584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:rsidR="000775B1" w:rsidRPr="00F40AC9" w:rsidRDefault="000775B1" w:rsidP="000775B1">
      <w:pPr>
        <w:spacing w:after="12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86584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             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>Импорт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  <w:t>Экспорт</w:t>
      </w:r>
      <w:r w:rsidRPr="00F40AC9" w:rsidDel="00E360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5402"/>
        <w:gridCol w:w="5010"/>
      </w:tblGrid>
      <w:tr w:rsidR="000775B1" w:rsidRPr="000F6D86" w:rsidTr="00C87723">
        <w:trPr>
          <w:trHeight w:val="2662"/>
        </w:trPr>
        <w:tc>
          <w:tcPr>
            <w:tcW w:w="2594" w:type="pct"/>
          </w:tcPr>
          <w:p w:rsidR="000775B1" w:rsidRPr="000F6D86" w:rsidRDefault="00573103" w:rsidP="00C87723">
            <w:r w:rsidRPr="000F6D86">
              <w:rPr>
                <w:noProof/>
                <w:lang w:eastAsia="ru-RU"/>
              </w:rPr>
              <w:drawing>
                <wp:inline distT="0" distB="0" distL="0" distR="0">
                  <wp:extent cx="2965450" cy="168275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406" w:type="pct"/>
            <w:shd w:val="clear" w:color="auto" w:fill="auto"/>
          </w:tcPr>
          <w:p w:rsidR="000775B1" w:rsidRPr="000F6D86" w:rsidRDefault="00573103" w:rsidP="00C87723">
            <w:bookmarkStart w:id="4" w:name="OLE_LINK7"/>
            <w:bookmarkStart w:id="5" w:name="OLE_LINK8"/>
            <w:bookmarkStart w:id="6" w:name="_GoBack"/>
            <w:bookmarkEnd w:id="6"/>
            <w:r w:rsidRPr="000F6D86">
              <w:rPr>
                <w:noProof/>
                <w:lang w:eastAsia="ru-RU"/>
              </w:rPr>
              <w:drawing>
                <wp:inline distT="0" distB="0" distL="0" distR="0">
                  <wp:extent cx="2895600" cy="165100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4"/>
            <w:bookmarkEnd w:id="5"/>
          </w:p>
        </w:tc>
      </w:tr>
    </w:tbl>
    <w:bookmarkEnd w:id="0"/>
    <w:bookmarkEnd w:id="1"/>
    <w:p w:rsidR="000348D7" w:rsidRPr="00BA490B" w:rsidRDefault="000348D7" w:rsidP="00BA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490B">
        <w:rPr>
          <w:rFonts w:ascii="Times New Roman" w:hAnsi="Times New Roman" w:cs="Times New Roman"/>
          <w:sz w:val="24"/>
          <w:szCs w:val="24"/>
          <w:lang w:val="ky-KG"/>
        </w:rPr>
        <w:t xml:space="preserve">Мындан тышкары, пресс-конференциянын катышуучуларына </w:t>
      </w:r>
      <w:r w:rsidR="00BA490B" w:rsidRPr="00BA490B">
        <w:rPr>
          <w:rFonts w:ascii="Times New Roman" w:hAnsi="Times New Roman" w:cs="Times New Roman"/>
          <w:sz w:val="24"/>
          <w:szCs w:val="24"/>
          <w:lang w:val="ky-KG"/>
        </w:rPr>
        <w:t>республиканын тышкы жана өз ара соодасынын негизги көрсөткүчтөрүн, кылмыштуулуктун абалын жана туриз</w:t>
      </w:r>
      <w:r w:rsidR="00BA490B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BA490B" w:rsidRPr="00BA490B">
        <w:rPr>
          <w:rFonts w:ascii="Times New Roman" w:hAnsi="Times New Roman" w:cs="Times New Roman"/>
          <w:sz w:val="24"/>
          <w:szCs w:val="24"/>
          <w:lang w:val="ky-KG"/>
        </w:rPr>
        <w:t>ди өнүктүрүүнүн негизги көрсөткүчтөрүн мүнөздөгөн маалыматтар берилди.</w:t>
      </w:r>
    </w:p>
    <w:p w:rsidR="000775B1" w:rsidRPr="000775B1" w:rsidRDefault="000775B1" w:rsidP="000775B1">
      <w:pPr>
        <w:spacing w:after="0" w:line="240" w:lineRule="auto"/>
        <w:jc w:val="center"/>
        <w:rPr>
          <w:rFonts w:cs="Times New Roman"/>
          <w:b/>
          <w:bCs/>
          <w:i/>
          <w:iCs/>
          <w:lang w:val="ky-KG"/>
        </w:rPr>
      </w:pPr>
      <w:r w:rsidRPr="000775B1">
        <w:rPr>
          <w:lang w:val="ky-KG"/>
        </w:rPr>
        <w:t>****</w:t>
      </w:r>
    </w:p>
    <w:p w:rsidR="000775B1" w:rsidRPr="00E263FE" w:rsidRDefault="000775B1" w:rsidP="00D00CB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y-KG"/>
        </w:rPr>
      </w:pPr>
      <w:r w:rsidRPr="000775B1">
        <w:rPr>
          <w:rFonts w:ascii="Times New Roman" w:hAnsi="Times New Roman" w:cs="Times New Roman"/>
          <w:lang w:val="ky-KG"/>
        </w:rPr>
        <w:t>Кыргыз Республикасынын улуттук маалыматтык-статистикалык тутуму өлкөдөгү маанилүү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>маалыматтык тутумдардын бири катары базар экономикасынын заманбап талаптарына жооп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>берет, мамлекеттик бийлик органдарын жана коомчулукту республиканын социалдык,</w:t>
      </w:r>
      <w:r w:rsidRPr="00E86584">
        <w:rPr>
          <w:rFonts w:ascii="Times New Roman" w:hAnsi="Times New Roman" w:cs="Times New Roman"/>
          <w:lang w:val="ky-KG"/>
        </w:rPr>
        <w:t xml:space="preserve">  </w:t>
      </w:r>
      <w:r w:rsidRPr="000775B1">
        <w:rPr>
          <w:rFonts w:ascii="Times New Roman" w:hAnsi="Times New Roman" w:cs="Times New Roman"/>
          <w:lang w:val="ky-KG"/>
        </w:rPr>
        <w:t>кономикалык, демографиялык жана экологиялык абалы жөнүндө статистикалык байкоо, иштеп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>чыгуу жана статистикалык маалыматтарды таратуунун жаңы методдоруна негизделген, эл аралык</w:t>
      </w:r>
      <w:r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 xml:space="preserve">эрежелерге жана стандарттарга ылайыктуу маалыматтар менен камсыз кылат. </w:t>
      </w:r>
      <w:r w:rsidRPr="00E263FE">
        <w:rPr>
          <w:rFonts w:ascii="Times New Roman" w:hAnsi="Times New Roman" w:cs="Times New Roman"/>
          <w:lang w:val="ky-KG"/>
        </w:rPr>
        <w:t>Кененирээк маалымат алуу жана интервью уюштуруу үчүн басма сөз катчысына кайрылыңыз:</w:t>
      </w:r>
      <w:r w:rsidRPr="00E263FE">
        <w:rPr>
          <w:rFonts w:ascii="Times New Roman" w:hAnsi="Times New Roman" w:cs="Times New Roman"/>
          <w:color w:val="000000"/>
          <w:lang w:val="ky-KG"/>
        </w:rPr>
        <w:t xml:space="preserve"> </w:t>
      </w:r>
    </w:p>
    <w:p w:rsidR="000775B1" w:rsidRPr="002E2275" w:rsidRDefault="000775B1" w:rsidP="000775B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87357">
        <w:rPr>
          <w:sz w:val="22"/>
          <w:szCs w:val="22"/>
        </w:rPr>
        <w:t>тел</w:t>
      </w:r>
      <w:r w:rsidRPr="002E2275">
        <w:rPr>
          <w:sz w:val="22"/>
          <w:szCs w:val="22"/>
          <w:lang w:val="en-US" w:eastAsia="en-US"/>
        </w:rPr>
        <w:t>.: + 996 (312) 625 747</w:t>
      </w:r>
    </w:p>
    <w:p w:rsidR="000775B1" w:rsidRDefault="000775B1" w:rsidP="000775B1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proofErr w:type="gramStart"/>
      <w:r w:rsidRPr="00D87357">
        <w:rPr>
          <w:rFonts w:ascii="Times New Roman" w:hAnsi="Times New Roman" w:cs="Times New Roman"/>
          <w:lang w:val="en-US"/>
        </w:rPr>
        <w:t>e-mail</w:t>
      </w:r>
      <w:proofErr w:type="gramEnd"/>
      <w:r w:rsidRPr="00D87357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D87357">
          <w:rPr>
            <w:rFonts w:ascii="Times New Roman" w:hAnsi="Times New Roman" w:cs="Times New Roman"/>
            <w:color w:val="0000FF"/>
            <w:u w:val="single"/>
            <w:lang w:val="en-US"/>
          </w:rPr>
          <w:t>smi_nsc@stat.kg</w:t>
        </w:r>
      </w:hyperlink>
      <w:r w:rsidRPr="00D87357">
        <w:rPr>
          <w:rFonts w:ascii="Times New Roman" w:hAnsi="Times New Roman" w:cs="Times New Roman"/>
          <w:color w:val="0000FF"/>
          <w:u w:val="single"/>
          <w:lang w:val="en-US"/>
        </w:rPr>
        <w:t>,</w:t>
      </w:r>
    </w:p>
    <w:p w:rsidR="000775B1" w:rsidRPr="00D87357" w:rsidRDefault="000775B1" w:rsidP="000775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y-KG" w:eastAsia="ru-RU"/>
        </w:rPr>
      </w:pPr>
      <w:r w:rsidRPr="00D87357">
        <w:rPr>
          <w:rFonts w:ascii="Times New Roman" w:hAnsi="Times New Roman" w:cs="Times New Roman"/>
          <w:color w:val="000000"/>
          <w:lang w:val="ky-KG" w:eastAsia="ru-RU"/>
        </w:rPr>
        <w:t>Дареги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: </w:t>
      </w:r>
      <w:r w:rsidRPr="00D87357">
        <w:rPr>
          <w:rFonts w:ascii="Times New Roman" w:hAnsi="Times New Roman" w:cs="Times New Roman"/>
          <w:color w:val="000000"/>
          <w:lang w:eastAsia="ru-RU"/>
        </w:rPr>
        <w:t>Фрунзе</w:t>
      </w:r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көч.: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 w:rsidRPr="00D87357">
        <w:rPr>
          <w:rFonts w:ascii="Times New Roman" w:hAnsi="Times New Roman" w:cs="Times New Roman"/>
          <w:color w:val="000000"/>
          <w:lang w:val="en-US" w:eastAsia="ru-RU"/>
        </w:rPr>
        <w:t>374</w:t>
      </w:r>
      <w:proofErr w:type="gramEnd"/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 (</w:t>
      </w:r>
      <w:r w:rsidRPr="00D87357">
        <w:rPr>
          <w:rFonts w:ascii="Times New Roman" w:hAnsi="Times New Roman" w:cs="Times New Roman"/>
          <w:color w:val="000000"/>
          <w:lang w:eastAsia="ru-RU"/>
        </w:rPr>
        <w:t>Т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D87357">
        <w:rPr>
          <w:rFonts w:ascii="Times New Roman" w:hAnsi="Times New Roman" w:cs="Times New Roman"/>
          <w:color w:val="000000"/>
          <w:lang w:eastAsia="ru-RU"/>
        </w:rPr>
        <w:t>Молдо</w:t>
      </w:r>
      <w:proofErr w:type="spellEnd"/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көчөсү кесилишет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>).</w:t>
      </w:r>
    </w:p>
    <w:tbl>
      <w:tblPr>
        <w:tblW w:w="5120" w:type="pct"/>
        <w:tblLook w:val="01E0" w:firstRow="1" w:lastRow="1" w:firstColumn="1" w:lastColumn="1" w:noHBand="0" w:noVBand="0"/>
      </w:tblPr>
      <w:tblGrid>
        <w:gridCol w:w="1816"/>
        <w:gridCol w:w="2815"/>
        <w:gridCol w:w="1070"/>
        <w:gridCol w:w="1279"/>
        <w:gridCol w:w="1772"/>
        <w:gridCol w:w="1697"/>
      </w:tblGrid>
      <w:tr w:rsidR="000775B1" w:rsidRPr="00BD634F" w:rsidTr="00C87723">
        <w:tc>
          <w:tcPr>
            <w:tcW w:w="869" w:type="pct"/>
            <w:shd w:val="clear" w:color="auto" w:fill="auto"/>
            <w:vAlign w:val="bottom"/>
          </w:tcPr>
          <w:p w:rsidR="000775B1" w:rsidRPr="00041DCC" w:rsidRDefault="000775B1" w:rsidP="00C877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1DCC"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 xml:space="preserve">Биз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>байланышта</w:t>
            </w:r>
            <w:r w:rsidRPr="00041DCC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1347" w:type="pct"/>
            <w:shd w:val="clear" w:color="auto" w:fill="auto"/>
            <w:vAlign w:val="bottom"/>
          </w:tcPr>
          <w:p w:rsidR="000775B1" w:rsidRPr="002E0A8F" w:rsidRDefault="00573103" w:rsidP="00C87723">
            <w:pPr>
              <w:jc w:val="right"/>
              <w:rPr>
                <w:rFonts w:ascii="Times New Roman" w:hAnsi="Times New Roman"/>
                <w:b/>
                <w:color w:val="1F4E79"/>
              </w:rPr>
            </w:pPr>
            <w:hyperlink r:id="rId11" w:history="1">
              <w:r w:rsidR="000775B1" w:rsidRPr="002E0A8F">
                <w:rPr>
                  <w:rStyle w:val="a4"/>
                  <w:rFonts w:ascii="Times New Roman" w:hAnsi="Times New Roman"/>
                  <w:color w:val="1F4E79"/>
                </w:rPr>
                <w:t>www.stat.kg</w:t>
              </w:r>
            </w:hyperlink>
            <w:r w:rsidR="000775B1" w:rsidRPr="002E0A8F">
              <w:rPr>
                <w:rFonts w:ascii="Times New Roman" w:hAnsi="Times New Roman"/>
                <w:color w:val="1F4E79"/>
              </w:rPr>
              <w:t>|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775B1" w:rsidRPr="00F40AC9" w:rsidRDefault="00573103" w:rsidP="00C87723">
            <w:pPr>
              <w:rPr>
                <w:rFonts w:ascii="Times New Roman" w:hAnsi="Times New Roman" w:cs="Times New Roman"/>
                <w:b/>
                <w:color w:val="1F4E79"/>
              </w:rPr>
            </w:pPr>
            <w:hyperlink r:id="rId12" w:history="1">
              <w:proofErr w:type="spellStart"/>
              <w:r w:rsidR="000775B1" w:rsidRPr="007E2449">
                <w:rPr>
                  <w:rStyle w:val="a4"/>
                  <w:rFonts w:ascii="Times New Roman" w:hAnsi="Times New Roman" w:cs="Times New Roman"/>
                  <w:color w:val="1F4E79"/>
                  <w:sz w:val="21"/>
                  <w:szCs w:val="21"/>
                  <w:shd w:val="clear" w:color="auto" w:fill="FFFFFF"/>
                </w:rPr>
                <w:t>Facebook</w:t>
              </w:r>
              <w:proofErr w:type="spellEnd"/>
            </w:hyperlink>
          </w:p>
        </w:tc>
        <w:tc>
          <w:tcPr>
            <w:tcW w:w="612" w:type="pct"/>
            <w:shd w:val="clear" w:color="auto" w:fill="auto"/>
            <w:vAlign w:val="bottom"/>
          </w:tcPr>
          <w:p w:rsidR="000775B1" w:rsidRPr="00BD634F" w:rsidRDefault="000775B1" w:rsidP="00C87723">
            <w:pPr>
              <w:rPr>
                <w:rFonts w:ascii="Times New Roman" w:hAnsi="Times New Roman"/>
                <w:b/>
              </w:rPr>
            </w:pPr>
            <w:r w:rsidRPr="00BD634F">
              <w:rPr>
                <w:rFonts w:ascii="Times New Roman" w:hAnsi="Times New Roman"/>
              </w:rPr>
              <w:t xml:space="preserve">тел.625747 </w:t>
            </w:r>
          </w:p>
        </w:tc>
        <w:tc>
          <w:tcPr>
            <w:tcW w:w="848" w:type="pct"/>
            <w:shd w:val="clear" w:color="auto" w:fill="auto"/>
            <w:vAlign w:val="bottom"/>
          </w:tcPr>
          <w:p w:rsidR="000775B1" w:rsidRPr="00BD634F" w:rsidRDefault="000775B1" w:rsidP="00C87723">
            <w:pPr>
              <w:rPr>
                <w:rFonts w:ascii="Times New Roman" w:hAnsi="Times New Roman"/>
                <w:b/>
              </w:rPr>
            </w:pPr>
            <w:r w:rsidRPr="002A3651">
              <w:rPr>
                <w:noProof/>
                <w:lang w:eastAsia="ru-RU"/>
              </w:rPr>
              <w:drawing>
                <wp:inline distT="0" distB="0" distL="0" distR="0" wp14:anchorId="3E3844CA" wp14:editId="0FB3D792">
                  <wp:extent cx="950595" cy="289560"/>
                  <wp:effectExtent l="0" t="0" r="1905" b="0"/>
                  <wp:docPr id="2" name="Рисунок 2" descr="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" t="15628" r="6386" b="1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0775B1" w:rsidRPr="00BD634F" w:rsidRDefault="000775B1" w:rsidP="00C8772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1BBE2" wp14:editId="1D71774A">
                  <wp:extent cx="905510" cy="285115"/>
                  <wp:effectExtent l="0" t="0" r="8890" b="635"/>
                  <wp:docPr id="1" name="Рисунок 1" descr="apple_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_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5" b="10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BF5" w:rsidRDefault="007F7BF5" w:rsidP="00D00CBE"/>
    <w:sectPr w:rsidR="007F7BF5" w:rsidSect="00FA7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1"/>
    <w:rsid w:val="00004ABB"/>
    <w:rsid w:val="00006F0B"/>
    <w:rsid w:val="00033DCC"/>
    <w:rsid w:val="000348D7"/>
    <w:rsid w:val="000563BC"/>
    <w:rsid w:val="000775B1"/>
    <w:rsid w:val="000D205C"/>
    <w:rsid w:val="000E4B35"/>
    <w:rsid w:val="00121D70"/>
    <w:rsid w:val="0016502F"/>
    <w:rsid w:val="001B0F19"/>
    <w:rsid w:val="00212D82"/>
    <w:rsid w:val="002165FD"/>
    <w:rsid w:val="00255555"/>
    <w:rsid w:val="002864CB"/>
    <w:rsid w:val="00294FF2"/>
    <w:rsid w:val="002C2503"/>
    <w:rsid w:val="002C7B32"/>
    <w:rsid w:val="002D3A9E"/>
    <w:rsid w:val="00306912"/>
    <w:rsid w:val="00315655"/>
    <w:rsid w:val="0034444E"/>
    <w:rsid w:val="00361750"/>
    <w:rsid w:val="003617F6"/>
    <w:rsid w:val="003732BA"/>
    <w:rsid w:val="00383C00"/>
    <w:rsid w:val="003D1944"/>
    <w:rsid w:val="00406CAA"/>
    <w:rsid w:val="00453200"/>
    <w:rsid w:val="00470E4C"/>
    <w:rsid w:val="004D72EC"/>
    <w:rsid w:val="004F5850"/>
    <w:rsid w:val="005653F8"/>
    <w:rsid w:val="00573103"/>
    <w:rsid w:val="00576B0E"/>
    <w:rsid w:val="00581754"/>
    <w:rsid w:val="005B2606"/>
    <w:rsid w:val="00637D4D"/>
    <w:rsid w:val="00653AA8"/>
    <w:rsid w:val="006C0FD2"/>
    <w:rsid w:val="006F101E"/>
    <w:rsid w:val="00702DA1"/>
    <w:rsid w:val="007351AD"/>
    <w:rsid w:val="0074167D"/>
    <w:rsid w:val="0078407B"/>
    <w:rsid w:val="007A4AC9"/>
    <w:rsid w:val="007F0B02"/>
    <w:rsid w:val="007F7BF5"/>
    <w:rsid w:val="00803A6B"/>
    <w:rsid w:val="0086085A"/>
    <w:rsid w:val="00895D8E"/>
    <w:rsid w:val="008A7CC0"/>
    <w:rsid w:val="008F7E35"/>
    <w:rsid w:val="00905998"/>
    <w:rsid w:val="0092140E"/>
    <w:rsid w:val="009A5D94"/>
    <w:rsid w:val="009D54DA"/>
    <w:rsid w:val="00A130FA"/>
    <w:rsid w:val="00A41BEA"/>
    <w:rsid w:val="00A561C1"/>
    <w:rsid w:val="00A6442A"/>
    <w:rsid w:val="00A96C49"/>
    <w:rsid w:val="00AC7B75"/>
    <w:rsid w:val="00B31F67"/>
    <w:rsid w:val="00BA490B"/>
    <w:rsid w:val="00BE0EED"/>
    <w:rsid w:val="00BE1A84"/>
    <w:rsid w:val="00C040BA"/>
    <w:rsid w:val="00C45896"/>
    <w:rsid w:val="00C975E3"/>
    <w:rsid w:val="00C97D06"/>
    <w:rsid w:val="00CA2838"/>
    <w:rsid w:val="00CB2A89"/>
    <w:rsid w:val="00CD2D61"/>
    <w:rsid w:val="00CF0F80"/>
    <w:rsid w:val="00D00CBE"/>
    <w:rsid w:val="00D2634E"/>
    <w:rsid w:val="00D61D17"/>
    <w:rsid w:val="00D63279"/>
    <w:rsid w:val="00D839C1"/>
    <w:rsid w:val="00D944E0"/>
    <w:rsid w:val="00DA1700"/>
    <w:rsid w:val="00DE74F5"/>
    <w:rsid w:val="00DE77D8"/>
    <w:rsid w:val="00E202B5"/>
    <w:rsid w:val="00E263FE"/>
    <w:rsid w:val="00E34E7C"/>
    <w:rsid w:val="00EC4040"/>
    <w:rsid w:val="00EE67D1"/>
    <w:rsid w:val="00F24766"/>
    <w:rsid w:val="00F47392"/>
    <w:rsid w:val="00FC4C2C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319E-8256-47B8-80D2-36F8C94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B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5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7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s://www.facebook.com/statcom.k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stat.k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mi_nsc@stat.k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521126760563378E-2"/>
          <c:y val="9.0909090909090912E-2"/>
          <c:w val="0.94929577464788728"/>
          <c:h val="0.74866310160427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82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0000FF"/>
              </a:solidFill>
              <a:ln w="125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6261110200563E-4"/>
                  <c:y val="-9.0081261728275352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102,4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203480937187452E-3"/>
                  <c:y val="-9.8627777211229839E-4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103,0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361336485687656E-2"/>
                  <c:y val="-1.9703162090015214E-2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347192438537363E-3"/>
                  <c:y val="-2.323292458021986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101,1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25003410470462E-3"/>
                  <c:y val="9.7086782401610838E-3"/>
                </c:manualLayout>
              </c:layout>
              <c:spPr>
                <a:noFill/>
                <a:ln w="25163">
                  <a:noFill/>
                </a:ln>
              </c:spPr>
              <c:txPr>
                <a:bodyPr/>
                <a:lstStyle/>
                <a:p>
                  <a:pPr>
                    <a:defRPr sz="4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152875770872432E-3"/>
                  <c:y val="8.3718176565860114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100,3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828291889164948E-3"/>
                  <c:y val="3.2364429648210513E-2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99,9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29658727222262E-3"/>
                  <c:y val="7.03495707301105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100,0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199428938389877E-3"/>
                  <c:y val="-3.6603813413521591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8977293954417558E-4"/>
                  <c:y val="1.104538757514828E-2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102,1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7166805211917859E-3"/>
                  <c:y val="-7.6709602383300823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103,1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412092792277416E-3"/>
                  <c:y val="-7.6711885380852385E-3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103,5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5314934458444673E-3"/>
                  <c:y val="-2.5050521665653899E-2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106,4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7822238753858493E-4"/>
                  <c:y val="-1.0344983902655591E-2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104,9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0395838669859954E-3"/>
                  <c:y val="1.1045695779817677E-2"/>
                </c:manualLayout>
              </c:layout>
              <c:spPr>
                <a:noFill/>
                <a:ln w="25163">
                  <a:noFill/>
                </a:ln>
              </c:spPr>
              <c:txPr>
                <a:bodyPr/>
                <a:lstStyle/>
                <a:p>
                  <a:pPr>
                    <a:defRPr sz="4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Mode val="edge"/>
                  <c:yMode val="edge"/>
                  <c:x val="0.96338028169014089"/>
                  <c:y val="0.93048128342245995"/>
                </c:manualLayout>
              </c:layout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101,1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100,6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spPr>
                <a:noFill/>
                <a:ln w="25163">
                  <a:noFill/>
                </a:ln>
              </c:spPr>
              <c:txPr>
                <a:bodyPr/>
                <a:lstStyle/>
                <a:p>
                  <a:pPr>
                    <a:defRPr sz="4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99,9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100,0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101,2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102,1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49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103,1</a:t>
                    </a:r>
                  </a:p>
                </c:rich>
              </c:tx>
              <c:spPr>
                <a:noFill/>
                <a:ln w="2516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163">
                  <a:noFill/>
                </a:ln>
              </c:spPr>
              <c:txPr>
                <a:bodyPr/>
                <a:lstStyle/>
                <a:p>
                  <a:pPr>
                    <a:defRPr sz="4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1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Sheet1!$B$1:$P$1</c:f>
              <c:strCache>
                <c:ptCount val="15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102.4</c:v>
                </c:pt>
                <c:pt idx="1">
                  <c:v>103</c:v>
                </c:pt>
                <c:pt idx="2">
                  <c:v>101.2</c:v>
                </c:pt>
                <c:pt idx="3">
                  <c:v>101.1</c:v>
                </c:pt>
                <c:pt idx="4">
                  <c:v>100.6</c:v>
                </c:pt>
                <c:pt idx="5">
                  <c:v>100.3</c:v>
                </c:pt>
                <c:pt idx="6">
                  <c:v>99.9</c:v>
                </c:pt>
                <c:pt idx="7">
                  <c:v>100</c:v>
                </c:pt>
                <c:pt idx="8">
                  <c:v>101.2</c:v>
                </c:pt>
                <c:pt idx="9">
                  <c:v>102.1</c:v>
                </c:pt>
                <c:pt idx="10">
                  <c:v>103.1</c:v>
                </c:pt>
                <c:pt idx="11">
                  <c:v>103.5</c:v>
                </c:pt>
                <c:pt idx="12">
                  <c:v>106.4</c:v>
                </c:pt>
                <c:pt idx="13">
                  <c:v>104.9</c:v>
                </c:pt>
                <c:pt idx="14">
                  <c:v>105.3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816936"/>
        <c:axId val="219813016"/>
      </c:barChart>
      <c:catAx>
        <c:axId val="219816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39436619718309857"/>
              <c:y val="0.9197860962566845"/>
            </c:manualLayout>
          </c:layout>
          <c:overlay val="0"/>
          <c:spPr>
            <a:noFill/>
            <a:ln w="25163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1301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19813016"/>
        <c:scaling>
          <c:orientation val="minMax"/>
          <c:max val="107"/>
          <c:min val="99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16936"/>
        <c:crosses val="autoZero"/>
        <c:crossBetween val="between"/>
        <c:majorUnit val="1"/>
      </c:valAx>
      <c:spPr>
        <a:solidFill>
          <a:srgbClr val="FFFFFF"/>
        </a:solidFill>
        <a:ln w="2516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285714285714284E-2"/>
          <c:y val="6.5217391304347824E-2"/>
          <c:w val="0.94857142857142862"/>
          <c:h val="0.66847826086956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CC"/>
            </a:solidFill>
            <a:ln w="17606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FFFF00"/>
              </a:solidFill>
              <a:ln w="17606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 w="17606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 w="176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8137083393430996E-3"/>
                  <c:y val="2.1245675156132515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104,0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692091188546087E-4"/>
                  <c:y val="1.5162765106643272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106,3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5787189711328E-3"/>
                  <c:y val="1.5935802058260007E-2"/>
                </c:manualLayout>
              </c:layout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8471639829567081E-5"/>
                  <c:y val="9.9161593561069017E-3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100,6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306165268953286E-4"/>
                  <c:y val="3.2638502466098673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98,2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725545579766581E-3"/>
                  <c:y val="1.252958452881503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95,6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860409520622578E-3"/>
                  <c:y val="2.8478505824811928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93,5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685241631862241E-2"/>
                  <c:y val="3.8469968310092639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92,9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2084442311662169E-2"/>
                  <c:y val="2.089083451659679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97,6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4208545883889201E-2"/>
                  <c:y val="1.1901798383695761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101,1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0363179922606767E-3"/>
                  <c:y val="1.1776347144922927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104,9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149804386346387E-2"/>
                  <c:y val="1.9196768781207518E-2"/>
                </c:manualLayout>
              </c:layout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8406147923289207E-2"/>
                  <c:y val="0"/>
                </c:manualLayout>
              </c:layout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6948497971433274E-2"/>
                  <c:y val="3.81232212038915E-3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112,2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5933104158974096E-2"/>
                  <c:y val="1.1755419958694412E-2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114,2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Mode val="edge"/>
                  <c:yMode val="edge"/>
                  <c:x val="0.97142857142857142"/>
                  <c:y val="0.95108695652173914"/>
                </c:manualLayout>
              </c:layout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99,0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pPr>
                      <a:defRPr sz="6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94,0</a:t>
                    </a:r>
                  </a:p>
                </c:rich>
              </c:tx>
              <c:spPr>
                <a:noFill/>
                <a:ln w="352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35211">
                  <a:noFill/>
                </a:ln>
              </c:spPr>
              <c:txPr>
                <a:bodyPr/>
                <a:lstStyle/>
                <a:p>
                  <a:pPr>
                    <a:defRPr sz="6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52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Sheet1!$B$1:$P$1</c:f>
              <c:strCache>
                <c:ptCount val="15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104</c:v>
                </c:pt>
                <c:pt idx="1">
                  <c:v>106.3</c:v>
                </c:pt>
                <c:pt idx="2">
                  <c:v>100.2</c:v>
                </c:pt>
                <c:pt idx="3">
                  <c:v>100.6</c:v>
                </c:pt>
                <c:pt idx="4">
                  <c:v>98.2</c:v>
                </c:pt>
                <c:pt idx="5">
                  <c:v>95.6</c:v>
                </c:pt>
                <c:pt idx="6">
                  <c:v>93.5</c:v>
                </c:pt>
                <c:pt idx="7">
                  <c:v>92.9</c:v>
                </c:pt>
                <c:pt idx="8">
                  <c:v>97.6</c:v>
                </c:pt>
                <c:pt idx="9">
                  <c:v>101.1</c:v>
                </c:pt>
                <c:pt idx="10">
                  <c:v>104.9</c:v>
                </c:pt>
                <c:pt idx="11">
                  <c:v>105.4</c:v>
                </c:pt>
                <c:pt idx="12">
                  <c:v>115.7</c:v>
                </c:pt>
                <c:pt idx="13">
                  <c:v>112.2</c:v>
                </c:pt>
                <c:pt idx="14">
                  <c:v>114.2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822424"/>
        <c:axId val="219818504"/>
      </c:barChart>
      <c:catAx>
        <c:axId val="219822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3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19142857142857142"/>
              <c:y val="0.82608695652173914"/>
            </c:manualLayout>
          </c:layout>
          <c:overlay val="0"/>
          <c:spPr>
            <a:noFill/>
            <a:ln w="35211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4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1850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19818504"/>
        <c:scaling>
          <c:orientation val="minMax"/>
          <c:max val="116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4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22424"/>
        <c:crosses val="autoZero"/>
        <c:crossBetween val="between"/>
        <c:majorUnit val="2"/>
      </c:valAx>
      <c:spPr>
        <a:solidFill>
          <a:srgbClr val="FFFFFF"/>
        </a:solidFill>
        <a:ln w="3521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80132450331126E-2"/>
          <c:y val="0.10778443113772455"/>
          <c:w val="0.91390728476821192"/>
          <c:h val="0.58083832335329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3366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7108489726998383E-3"/>
                  <c:y val="1.2449157842389813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147,1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4435392191787E-3"/>
                  <c:y val="2.0516708374960224E-3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12194948467849E-4"/>
                  <c:y val="2.7779129009845582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111,3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061028563057185E-2"/>
                  <c:y val="4.02054663515044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845462405391342E-3"/>
                  <c:y val="-1.9492116643254898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106,0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19322196166685E-3"/>
                  <c:y val="-1.6030328883163691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656936468885351E-3"/>
                  <c:y val="-7.5564431973966228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100,6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4692388354670145E-3"/>
                  <c:y val="2.2886738186085109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96,9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7243487051036E-3"/>
                  <c:y val="2.4111106267631133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0500490248679393E-3"/>
                  <c:y val="2.7459403581783004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95,7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9960832586413133E-3"/>
                  <c:y val="8.7873553146270433E-3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9421174924145763E-3"/>
                  <c:y val="3.0979237187487962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95,3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7343648301034742E-3"/>
                  <c:y val="1.8486203347279573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97,4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8799337938173508E-4"/>
                  <c:y val="2.0763403218818643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95,1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Mode val="edge"/>
                  <c:yMode val="edge"/>
                  <c:x val="0.95695364238410596"/>
                  <c:y val="0.90419161676646709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111,3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109,4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106,0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104,4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100,6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96,9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95,4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95,7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Sheet1!$B$1:$O$1</c:f>
              <c:strCache>
                <c:ptCount val="14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147.1</c:v>
                </c:pt>
                <c:pt idx="1">
                  <c:v>115.3</c:v>
                </c:pt>
                <c:pt idx="2">
                  <c:v>111.3</c:v>
                </c:pt>
                <c:pt idx="3">
                  <c:v>109.4</c:v>
                </c:pt>
                <c:pt idx="4">
                  <c:v>106</c:v>
                </c:pt>
                <c:pt idx="5">
                  <c:v>104.4</c:v>
                </c:pt>
                <c:pt idx="6">
                  <c:v>100.6</c:v>
                </c:pt>
                <c:pt idx="7">
                  <c:v>96.9</c:v>
                </c:pt>
                <c:pt idx="8">
                  <c:v>95.4</c:v>
                </c:pt>
                <c:pt idx="9">
                  <c:v>95.7</c:v>
                </c:pt>
                <c:pt idx="10">
                  <c:v>95.1</c:v>
                </c:pt>
                <c:pt idx="11">
                  <c:v>95.3</c:v>
                </c:pt>
                <c:pt idx="12">
                  <c:v>97.4</c:v>
                </c:pt>
                <c:pt idx="13">
                  <c:v>95.1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823600"/>
        <c:axId val="219818112"/>
      </c:barChart>
      <c:catAx>
        <c:axId val="219823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29139072847682118"/>
              <c:y val="0.80239520958083832"/>
            </c:manualLayout>
          </c:layout>
          <c:overlay val="0"/>
          <c:spPr>
            <a:noFill/>
            <a:ln w="2534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18112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19818112"/>
        <c:scaling>
          <c:orientation val="minMax"/>
          <c:max val="150"/>
          <c:min val="8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23600"/>
        <c:crosses val="autoZero"/>
        <c:crossBetween val="between"/>
        <c:majorUnit val="5"/>
      </c:valAx>
      <c:spPr>
        <a:solidFill>
          <a:srgbClr val="FFFFFF"/>
        </a:solidFill>
        <a:ln w="2534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237288135593219E-2"/>
          <c:y val="0.11042944785276074"/>
          <c:w val="0.94915254237288138"/>
          <c:h val="0.59509202453987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7175984134900131E-3"/>
                  <c:y val="1.0481050711039608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108,4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639392087585868E-3"/>
                  <c:y val="-3.1183963613798105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120,5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207948471204809E-3"/>
                  <c:y val="-1.6270117014044461E-4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674809939569532E-3"/>
                  <c:y val="6.8558709538372731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111,4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141671407933701E-3"/>
                  <c:y val="3.8624146733899911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130,8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086382377938371E-3"/>
                  <c:y val="-1.3706770018542397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130,9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0177089259917365E-3"/>
                  <c:y val="-9.6192677425468998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122,1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14405608977731E-2"/>
                  <c:y val="3.7975237168029752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109,7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1005663765713054E-3"/>
                  <c:y val="-1.962696339455916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103,7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837083031882356E-2"/>
                  <c:y val="3.834679112491745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102,9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5573599687193407E-2"/>
                  <c:y val="-1.041537198128667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102,0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5920285834029935E-2"/>
                  <c:y val="4.3643562369711231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105,0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6188899112855619E-3"/>
                  <c:y val="3.204729611724455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93,5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8.3554065665966126E-3"/>
                  <c:y val="3.1405547112179577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75,2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107,9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111,4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130,8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130,9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122,1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103,7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102,9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102,0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105,0</a:t>
                    </a:r>
                  </a:p>
                </c:rich>
              </c:tx>
              <c:spPr>
                <a:noFill/>
                <a:ln w="2531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Sheet1!$B$1:$O$1</c:f>
              <c:strCache>
                <c:ptCount val="14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108.4</c:v>
                </c:pt>
                <c:pt idx="1">
                  <c:v>120.5</c:v>
                </c:pt>
                <c:pt idx="2">
                  <c:v>107.9</c:v>
                </c:pt>
                <c:pt idx="3">
                  <c:v>111.4</c:v>
                </c:pt>
                <c:pt idx="4">
                  <c:v>130.80000000000001</c:v>
                </c:pt>
                <c:pt idx="5">
                  <c:v>130.9</c:v>
                </c:pt>
                <c:pt idx="6">
                  <c:v>122.1</c:v>
                </c:pt>
                <c:pt idx="7">
                  <c:v>109.7</c:v>
                </c:pt>
                <c:pt idx="8">
                  <c:v>103.7</c:v>
                </c:pt>
                <c:pt idx="9">
                  <c:v>102.9</c:v>
                </c:pt>
                <c:pt idx="10">
                  <c:v>102</c:v>
                </c:pt>
                <c:pt idx="11">
                  <c:v>105</c:v>
                </c:pt>
                <c:pt idx="12">
                  <c:v>93.5</c:v>
                </c:pt>
                <c:pt idx="13">
                  <c:v>75.2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818896"/>
        <c:axId val="219819288"/>
      </c:barChart>
      <c:catAx>
        <c:axId val="21981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34915254237288135"/>
              <c:y val="0.82208588957055218"/>
            </c:manualLayout>
          </c:layout>
          <c:overlay val="0"/>
          <c:spPr>
            <a:noFill/>
            <a:ln w="2531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1928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19819288"/>
        <c:scaling>
          <c:orientation val="minMax"/>
          <c:max val="136"/>
          <c:min val="7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818896"/>
        <c:crosses val="autoZero"/>
        <c:crossBetween val="between"/>
        <c:majorUnit val="10"/>
        <c:minorUnit val="10"/>
      </c:valAx>
      <c:spPr>
        <a:solidFill>
          <a:srgbClr val="FFFFFF"/>
        </a:solidFill>
        <a:ln w="2531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21</cp:revision>
  <dcterms:created xsi:type="dcterms:W3CDTF">2019-03-04T04:48:00Z</dcterms:created>
  <dcterms:modified xsi:type="dcterms:W3CDTF">2019-04-11T02:19:00Z</dcterms:modified>
</cp:coreProperties>
</file>