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AAD4" w14:textId="77777777" w:rsidR="00613879" w:rsidRPr="00613879" w:rsidRDefault="00613879" w:rsidP="00613879">
      <w:pPr>
        <w:spacing w:after="24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 xml:space="preserve">Розничная </w:t>
      </w:r>
      <w:proofErr w:type="gramStart"/>
      <w:r w:rsidRPr="00613879">
        <w:rPr>
          <w:rFonts w:ascii="Times New Roman" w:eastAsia="Calibri" w:hAnsi="Times New Roman" w:cs="Times New Roman"/>
          <w:b/>
          <w:sz w:val="26"/>
          <w:szCs w:val="26"/>
        </w:rPr>
        <w:t>торговля</w:t>
      </w:r>
      <w:r w:rsidRPr="00613879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footnoteReference w:id="1"/>
      </w:r>
      <w:r w:rsidRPr="00613879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 xml:space="preserve"> </w:t>
      </w:r>
      <w:r w:rsidRPr="0061387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13879">
        <w:rPr>
          <w:rFonts w:ascii="Times New Roman" w:eastAsia="Calibri" w:hAnsi="Times New Roman" w:cs="Times New Roman"/>
          <w:b/>
          <w:sz w:val="26"/>
          <w:szCs w:val="26"/>
        </w:rPr>
        <w:t>Кыргызской</w:t>
      </w:r>
      <w:proofErr w:type="spellEnd"/>
      <w:proofErr w:type="gramEnd"/>
      <w:r w:rsidRPr="00613879">
        <w:rPr>
          <w:rFonts w:ascii="Times New Roman" w:eastAsia="Calibri" w:hAnsi="Times New Roman" w:cs="Times New Roman"/>
          <w:b/>
          <w:sz w:val="26"/>
          <w:szCs w:val="26"/>
        </w:rPr>
        <w:t xml:space="preserve"> Республики в 2015-2019гг.</w:t>
      </w:r>
    </w:p>
    <w:p w14:paraId="49FE6B45" w14:textId="77777777" w:rsidR="00613879" w:rsidRPr="00613879" w:rsidRDefault="00613879" w:rsidP="0061387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Объем оборота розничной торговли в 2019г. составил 407,6 млрд. сомов, что на 4,7 процента больше уровня предыдущего года и в 1,3 раза больше, чем в 2015г.</w:t>
      </w:r>
    </w:p>
    <w:p w14:paraId="40661141" w14:textId="77777777" w:rsidR="00613879" w:rsidRPr="00613879" w:rsidRDefault="00613879" w:rsidP="00613879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Увеличение объема розничной торговли достигнуто, в основном, за счет расширения продаж в торговых сетях, оборот которых в 2019г. составил 237,5 млрд. сомов, увеличившись по сравнению с 2018г. на 6,2 процента, а по сравнению с 2015г. - в 1,5 раза. При этом их доля в структуре розничной торговли возросла с 53 процентов в 2015г. до 58 процентов в 2019г.</w:t>
      </w:r>
    </w:p>
    <w:p w14:paraId="26B0C6A1" w14:textId="77777777" w:rsidR="00613879" w:rsidRPr="00613879" w:rsidRDefault="00613879" w:rsidP="0061387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>Основные показатели розничной торговли</w:t>
      </w:r>
    </w:p>
    <w:tbl>
      <w:tblPr>
        <w:tblW w:w="4935" w:type="pct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1170"/>
        <w:gridCol w:w="1315"/>
        <w:gridCol w:w="1315"/>
        <w:gridCol w:w="1357"/>
        <w:gridCol w:w="1417"/>
      </w:tblGrid>
      <w:tr w:rsidR="00613879" w:rsidRPr="00613879" w14:paraId="61D6ADB1" w14:textId="77777777" w:rsidTr="0033062E">
        <w:trPr>
          <w:tblHeader/>
        </w:trPr>
        <w:tc>
          <w:tcPr>
            <w:tcW w:w="1545" w:type="pct"/>
            <w:tcBorders>
              <w:top w:val="single" w:sz="8" w:space="0" w:color="auto"/>
              <w:bottom w:val="single" w:sz="8" w:space="0" w:color="auto"/>
            </w:tcBorders>
          </w:tcPr>
          <w:p w14:paraId="66C0C40F" w14:textId="77777777" w:rsidR="00613879" w:rsidRPr="00613879" w:rsidRDefault="00613879" w:rsidP="00613879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2E6EC9" w14:textId="77777777" w:rsidR="00613879" w:rsidRPr="00613879" w:rsidRDefault="00613879" w:rsidP="0061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6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5CC7BE" w14:textId="77777777" w:rsidR="00613879" w:rsidRPr="00613879" w:rsidRDefault="00613879" w:rsidP="0061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6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67C31A" w14:textId="77777777" w:rsidR="00613879" w:rsidRPr="00613879" w:rsidRDefault="00613879" w:rsidP="0061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7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B498AF" w14:textId="77777777" w:rsidR="00613879" w:rsidRPr="00613879" w:rsidRDefault="00613879" w:rsidP="0061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523C0F" w14:textId="77777777" w:rsidR="00613879" w:rsidRPr="00613879" w:rsidRDefault="00613879" w:rsidP="00613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2019</w:t>
            </w:r>
          </w:p>
        </w:tc>
      </w:tr>
      <w:tr w:rsidR="00613879" w:rsidRPr="00613879" w14:paraId="074F0F99" w14:textId="77777777" w:rsidTr="0033062E">
        <w:tc>
          <w:tcPr>
            <w:tcW w:w="1545" w:type="pct"/>
            <w:tcBorders>
              <w:top w:val="single" w:sz="8" w:space="0" w:color="auto"/>
            </w:tcBorders>
          </w:tcPr>
          <w:p w14:paraId="03D23985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F54B1B" w14:textId="77777777" w:rsidR="00613879" w:rsidRPr="00613879" w:rsidRDefault="00613879" w:rsidP="0061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Млн.сомов</w:t>
            </w:r>
          </w:p>
        </w:tc>
      </w:tr>
      <w:tr w:rsidR="00613879" w:rsidRPr="00613879" w14:paraId="648899A1" w14:textId="77777777" w:rsidTr="0033062E">
        <w:tc>
          <w:tcPr>
            <w:tcW w:w="1545" w:type="pct"/>
          </w:tcPr>
          <w:p w14:paraId="7F160A50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 розничной торговли</w:t>
            </w: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0B96A5F0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310 432,3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2D6899DE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324 484,3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20E39D89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356 193,9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571F59F9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384 615,4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68CB910D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407 605,8</w:t>
            </w:r>
          </w:p>
        </w:tc>
      </w:tr>
      <w:tr w:rsidR="00613879" w:rsidRPr="00613879" w14:paraId="0CDAB14F" w14:textId="77777777" w:rsidTr="0033062E">
        <w:tc>
          <w:tcPr>
            <w:tcW w:w="1545" w:type="pct"/>
          </w:tcPr>
          <w:p w14:paraId="677AA3A1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66E45823" w14:textId="77777777" w:rsidR="00613879" w:rsidRPr="00613879" w:rsidRDefault="00613879" w:rsidP="00613879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14:paraId="61163232" w14:textId="77777777" w:rsidR="00613879" w:rsidRPr="00613879" w:rsidRDefault="00613879" w:rsidP="00613879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14:paraId="2B908F31" w14:textId="77777777" w:rsidR="00613879" w:rsidRPr="00613879" w:rsidRDefault="00613879" w:rsidP="00613879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63D21B46" w14:textId="77777777" w:rsidR="00613879" w:rsidRPr="00613879" w:rsidRDefault="00613879" w:rsidP="00613879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bottom"/>
          </w:tcPr>
          <w:p w14:paraId="0E6D296B" w14:textId="77777777" w:rsidR="00613879" w:rsidRPr="00613879" w:rsidRDefault="00613879" w:rsidP="00613879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879" w:rsidRPr="00613879" w14:paraId="4134C154" w14:textId="77777777" w:rsidTr="0033062E">
        <w:tc>
          <w:tcPr>
            <w:tcW w:w="1545" w:type="pct"/>
          </w:tcPr>
          <w:p w14:paraId="3CD0E975" w14:textId="77777777" w:rsidR="00613879" w:rsidRPr="00613879" w:rsidRDefault="00613879" w:rsidP="006138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торгующих организаций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35990B77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163 818,2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4B59A587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174 346,3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493008F4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200 224,9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52D45B78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221 110,9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37C5FAD6" w14:textId="77777777" w:rsidR="00613879" w:rsidRPr="00613879" w:rsidRDefault="00613879" w:rsidP="0061387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237 533,9</w:t>
            </w:r>
          </w:p>
        </w:tc>
      </w:tr>
      <w:tr w:rsidR="00613879" w:rsidRPr="00613879" w14:paraId="4A547BC9" w14:textId="77777777" w:rsidTr="0033062E">
        <w:tc>
          <w:tcPr>
            <w:tcW w:w="1545" w:type="pct"/>
          </w:tcPr>
          <w:p w14:paraId="1FE98856" w14:textId="77777777" w:rsidR="00613879" w:rsidRPr="00613879" w:rsidRDefault="00613879" w:rsidP="00613879">
            <w:pPr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товаров на вещевых, смешанных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продовольственных рынках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5D201665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146 614,1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330801A6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150 138,0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553418CB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155 969,0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4AA7F545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163 504,5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28792385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170 071,9</w:t>
            </w:r>
          </w:p>
        </w:tc>
      </w:tr>
      <w:tr w:rsidR="00613879" w:rsidRPr="00613879" w14:paraId="505A8E26" w14:textId="77777777" w:rsidTr="0033062E">
        <w:tc>
          <w:tcPr>
            <w:tcW w:w="1545" w:type="pct"/>
            <w:vAlign w:val="bottom"/>
          </w:tcPr>
          <w:p w14:paraId="261D9906" w14:textId="77777777" w:rsidR="00613879" w:rsidRPr="00613879" w:rsidRDefault="00613879" w:rsidP="00613879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общего объема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оборота розничной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торговли:</w:t>
            </w:r>
          </w:p>
        </w:tc>
        <w:tc>
          <w:tcPr>
            <w:tcW w:w="615" w:type="pct"/>
            <w:vAlign w:val="bottom"/>
          </w:tcPr>
          <w:p w14:paraId="58844E33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bottom"/>
          </w:tcPr>
          <w:p w14:paraId="66B8DE41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bottom"/>
          </w:tcPr>
          <w:p w14:paraId="5D335ABF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Align w:val="bottom"/>
          </w:tcPr>
          <w:p w14:paraId="162D4A40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Align w:val="bottom"/>
          </w:tcPr>
          <w:p w14:paraId="62862C33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879" w:rsidRPr="00613879" w14:paraId="02498CD2" w14:textId="77777777" w:rsidTr="0033062E">
        <w:tc>
          <w:tcPr>
            <w:tcW w:w="1545" w:type="pct"/>
            <w:vAlign w:val="bottom"/>
          </w:tcPr>
          <w:p w14:paraId="3D0C17AE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продовольственные товары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13F539D1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163 822,1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41B7C4F7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171 976,7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420C20DB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192 700,9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66554554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208 846,2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70518433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223 368,0</w:t>
            </w:r>
          </w:p>
        </w:tc>
      </w:tr>
      <w:tr w:rsidR="00613879" w:rsidRPr="00613879" w14:paraId="530A9304" w14:textId="77777777" w:rsidTr="0033062E">
        <w:tc>
          <w:tcPr>
            <w:tcW w:w="1545" w:type="pct"/>
            <w:vAlign w:val="bottom"/>
          </w:tcPr>
          <w:p w14:paraId="5AAC042B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непродовольственные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товары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1428C217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146 610,2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7AAA9603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152 507,6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7D49F0FD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163 493,0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8AF1C83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175 769,2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10E59826" w14:textId="77777777" w:rsidR="00613879" w:rsidRPr="00613879" w:rsidRDefault="00613879" w:rsidP="00613879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184 237,8</w:t>
            </w:r>
          </w:p>
        </w:tc>
      </w:tr>
      <w:tr w:rsidR="00613879" w:rsidRPr="00613879" w14:paraId="7EC3A239" w14:textId="77777777" w:rsidTr="0033062E">
        <w:tc>
          <w:tcPr>
            <w:tcW w:w="1545" w:type="pct"/>
            <w:vAlign w:val="bottom"/>
          </w:tcPr>
          <w:p w14:paraId="57B6D68B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pct"/>
            <w:gridSpan w:val="5"/>
            <w:shd w:val="clear" w:color="auto" w:fill="auto"/>
            <w:vAlign w:val="bottom"/>
          </w:tcPr>
          <w:p w14:paraId="1C518763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Сомов</w:t>
            </w:r>
          </w:p>
        </w:tc>
      </w:tr>
      <w:tr w:rsidR="00613879" w:rsidRPr="00613879" w14:paraId="76F3A9D1" w14:textId="77777777" w:rsidTr="0033062E">
        <w:tc>
          <w:tcPr>
            <w:tcW w:w="1545" w:type="pct"/>
            <w:vAlign w:val="bottom"/>
          </w:tcPr>
          <w:p w14:paraId="32336CEE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Оборот розничной торговли </w:t>
            </w: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душу населения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79E6A2A0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54 442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1FF9CEDC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55 708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4D8195C7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59 932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7F5BD48C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62 835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00F5F639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65 139</w:t>
            </w:r>
          </w:p>
        </w:tc>
      </w:tr>
      <w:tr w:rsidR="00613879" w:rsidRPr="00613879" w14:paraId="5C34D56E" w14:textId="77777777" w:rsidTr="0033062E">
        <w:tc>
          <w:tcPr>
            <w:tcW w:w="1545" w:type="pct"/>
            <w:vAlign w:val="bottom"/>
          </w:tcPr>
          <w:p w14:paraId="7CC6B135" w14:textId="77777777" w:rsidR="00613879" w:rsidRPr="00613879" w:rsidRDefault="00613879" w:rsidP="00613879">
            <w:pPr>
              <w:spacing w:after="0" w:line="240" w:lineRule="auto"/>
              <w:ind w:left="397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числе: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6D89346A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14:paraId="43ACB195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14:paraId="53256A55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5D6D2A79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bottom"/>
          </w:tcPr>
          <w:p w14:paraId="40035DDE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879" w:rsidRPr="00613879" w14:paraId="5774F331" w14:textId="77777777" w:rsidTr="0033062E">
        <w:tc>
          <w:tcPr>
            <w:tcW w:w="1545" w:type="pct"/>
            <w:vAlign w:val="bottom"/>
          </w:tcPr>
          <w:p w14:paraId="71ECB73F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продовольственные товары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213EE75F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28 730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053EE82E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29 525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595DD6D2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32 423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0071348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34 120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2A7B4E3B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696</w:t>
            </w:r>
          </w:p>
        </w:tc>
      </w:tr>
      <w:tr w:rsidR="00613879" w:rsidRPr="00613879" w14:paraId="691FF4DE" w14:textId="77777777" w:rsidTr="0033062E">
        <w:tc>
          <w:tcPr>
            <w:tcW w:w="1545" w:type="pct"/>
            <w:tcBorders>
              <w:bottom w:val="single" w:sz="8" w:space="0" w:color="auto"/>
            </w:tcBorders>
            <w:vAlign w:val="bottom"/>
          </w:tcPr>
          <w:p w14:paraId="3CA28A66" w14:textId="77777777" w:rsidR="00613879" w:rsidRPr="00613879" w:rsidRDefault="00613879" w:rsidP="0061387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61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43E9A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25 712</w:t>
            </w:r>
          </w:p>
        </w:tc>
        <w:tc>
          <w:tcPr>
            <w:tcW w:w="6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261BA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26 183</w:t>
            </w:r>
          </w:p>
        </w:tc>
        <w:tc>
          <w:tcPr>
            <w:tcW w:w="6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BF6DC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27 509</w:t>
            </w:r>
          </w:p>
        </w:tc>
        <w:tc>
          <w:tcPr>
            <w:tcW w:w="7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A2B0A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28 715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205A8" w14:textId="77777777" w:rsidR="00613879" w:rsidRPr="00613879" w:rsidRDefault="00613879" w:rsidP="00613879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443</w:t>
            </w:r>
          </w:p>
        </w:tc>
      </w:tr>
    </w:tbl>
    <w:p w14:paraId="0A01C5CA" w14:textId="77777777" w:rsidR="00613879" w:rsidRPr="00613879" w:rsidRDefault="00613879" w:rsidP="00613879">
      <w:pPr>
        <w:spacing w:before="120"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На 1 января 20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20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количество хозяйствующих субъектов, образующих сеть розничной торговли, включая автозаправочные станции, составило 27627 единиц. </w:t>
      </w:r>
    </w:p>
    <w:p w14:paraId="010D8165" w14:textId="77777777" w:rsidR="00613879" w:rsidRPr="00613879" w:rsidRDefault="00613879" w:rsidP="00613879">
      <w:pPr>
        <w:spacing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y-KG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Наряду с расширением сети магазинов розничной торговли, продолжают функционировать рынки. На 1 января 20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20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в республике действовало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357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вещевых, смешанных и продовольственных рынков, торгующих потребительскими товарами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с количеством мест 75150, из которых 305 рынков – по продаже продовольственными, непродовольственными товарами, 43 рынка – по продаже скота, птицы и зернофуража и 9 рынков – по продаже автомобилей и автозапчастей.</w:t>
      </w:r>
    </w:p>
    <w:p w14:paraId="7E29BD34" w14:textId="77777777" w:rsidR="00613879" w:rsidRPr="00613879" w:rsidRDefault="00613879" w:rsidP="00613879">
      <w:pPr>
        <w:spacing w:after="12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  <w:lang w:val="ky-KG"/>
        </w:rPr>
        <w:t>Количество рынков по регионам Кыргызской Республики</w:t>
      </w:r>
    </w:p>
    <w:p w14:paraId="224C78F7" w14:textId="77777777" w:rsidR="00613879" w:rsidRPr="00613879" w:rsidRDefault="00613879" w:rsidP="00613879">
      <w:pPr>
        <w:spacing w:after="12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  <w:r w:rsidRPr="0061387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13A478" wp14:editId="0F9980E3">
            <wp:extent cx="4584700" cy="2737262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84" cy="2738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97185" w14:textId="77777777" w:rsidR="00613879" w:rsidRPr="00613879" w:rsidRDefault="00613879" w:rsidP="0061387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Оборот продажи товаров на рынках в 2019г. составил 170,1 млрд. сомов и по сравнению с 2018г. увеличился на 2,8 процента, а по сравнению с 2015г. – на 11,6 процентов. </w:t>
      </w:r>
    </w:p>
    <w:p w14:paraId="4D14FAB2" w14:textId="77777777" w:rsidR="00613879" w:rsidRPr="00613879" w:rsidRDefault="00613879" w:rsidP="0061387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Наряду с этим, его доля в общем объеме розничной торговли снизилась с 47 процентов в 2015г. до 42 процентов в 2019г.</w:t>
      </w:r>
    </w:p>
    <w:p w14:paraId="38E25069" w14:textId="281F285B" w:rsidR="00613879" w:rsidRPr="00613879" w:rsidRDefault="00613879" w:rsidP="006138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D33AC80" w14:textId="77777777" w:rsidR="00613879" w:rsidRPr="00613879" w:rsidRDefault="00613879" w:rsidP="0061387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Доля организованной и неорганизованной (рынки) торговли</w:t>
      </w:r>
    </w:p>
    <w:p w14:paraId="226D9AF8" w14:textId="77777777" w:rsidR="00613879" w:rsidRPr="00613879" w:rsidRDefault="00613879" w:rsidP="00613879">
      <w:pPr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13879">
        <w:rPr>
          <w:rFonts w:ascii="Times New Roman" w:eastAsia="Calibri" w:hAnsi="Times New Roman" w:cs="Times New Roman"/>
          <w:b/>
          <w:i/>
          <w:sz w:val="18"/>
          <w:szCs w:val="18"/>
        </w:rPr>
        <w:t>(в процентах)</w:t>
      </w:r>
    </w:p>
    <w:p w14:paraId="61DEE838" w14:textId="77777777" w:rsidR="00613879" w:rsidRPr="00613879" w:rsidRDefault="00613879" w:rsidP="00613879">
      <w:pPr>
        <w:spacing w:after="120" w:line="288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13879">
        <w:rPr>
          <w:rFonts w:ascii="Times New Roman" w:eastAsia="Calibri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 wp14:anchorId="0EF25085" wp14:editId="0107BFCF">
            <wp:extent cx="5499100" cy="2729438"/>
            <wp:effectExtent l="0" t="0" r="635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7F9B2A" w14:textId="77777777" w:rsidR="00613879" w:rsidRPr="00613879" w:rsidRDefault="00613879" w:rsidP="0061387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Доля непродовольственных товаров в обороте розничной торговли на протяжении последних 5 лет остается ниже объемов продажи продовольственных товаров. Удельный вес непродовольственных товаров в общем объеме оборота розничной торговли в 2019г. составил 4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5,2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а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, а в 2015г. он составлял 47,2 процента. </w:t>
      </w:r>
    </w:p>
    <w:p w14:paraId="1D70668A" w14:textId="77777777" w:rsidR="00613879" w:rsidRPr="00613879" w:rsidRDefault="00613879" w:rsidP="0061387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В 2019г. объем оборота розничной торговли непродовольственными товарами составил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184,2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млрд. сомов, что по сравнению с 2018г. больше на 3,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3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процента, а по сравнению с 2015г. –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на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2</w:t>
      </w:r>
      <w:r w:rsidRPr="00613879">
        <w:rPr>
          <w:rFonts w:ascii="Times New Roman" w:eastAsia="Calibri" w:hAnsi="Times New Roman" w:cs="Times New Roman"/>
          <w:sz w:val="26"/>
          <w:szCs w:val="26"/>
        </w:rPr>
        <w:t>,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6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процента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C1A6C29" w14:textId="77777777" w:rsidR="00613879" w:rsidRPr="00613879" w:rsidRDefault="00613879" w:rsidP="0061387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В структуре непродовольственных товаров наибольший удельный вес занимают горюче смазочные материалы, их доля в 2019г. в общем объеме оборота непродовольственных товаров составила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34,4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процента,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13,4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- строительные материалы,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8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,7 – автомобили,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7,9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- швейные изделия, 7,3 – обувь. </w:t>
      </w:r>
    </w:p>
    <w:p w14:paraId="1CB44B4C" w14:textId="77777777" w:rsidR="00613879" w:rsidRPr="00613879" w:rsidRDefault="00613879" w:rsidP="0061387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В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9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 реализовано продовольственных товаров по сравнению с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8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6,0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больше, а по сравнению с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5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 они увеличились в 1,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5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раза. </w:t>
      </w:r>
    </w:p>
    <w:p w14:paraId="4BB95363" w14:textId="77777777" w:rsidR="00613879" w:rsidRPr="00613879" w:rsidRDefault="00613879" w:rsidP="0061387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В структуре продовольственных товаров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23,7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занимают мука, хлеб и хлебобулочные изделия, в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9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населению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их 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реализовано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6,3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больше по сравнению с 2018г. (в 1,5 раза больше чем в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5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г.)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, 12,4 процента - </w:t>
      </w:r>
      <w:r w:rsidRPr="00613879">
        <w:rPr>
          <w:rFonts w:ascii="Times New Roman" w:eastAsia="Calibri" w:hAnsi="Times New Roman" w:cs="Times New Roman"/>
          <w:sz w:val="26"/>
          <w:szCs w:val="26"/>
        </w:rPr>
        <w:t>мясо и мясные продукты, реализовано на 7,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5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больше, чем в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8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 (в 1,4 раза больше, чем в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5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г.)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.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Д</w:t>
      </w:r>
      <w:proofErr w:type="spellStart"/>
      <w:r w:rsidRPr="00613879">
        <w:rPr>
          <w:rFonts w:ascii="Times New Roman" w:eastAsia="Calibri" w:hAnsi="Times New Roman" w:cs="Times New Roman"/>
          <w:sz w:val="26"/>
          <w:szCs w:val="26"/>
        </w:rPr>
        <w:t>оля</w:t>
      </w:r>
      <w:proofErr w:type="spellEnd"/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молока и молочных продуктов - 3,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9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процента, при этом объем по сравнению с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8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возрос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8,2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(в 1,4 раза больше по сравнению с 201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5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г.)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, </w:t>
      </w:r>
      <w:r w:rsidRPr="00613879">
        <w:rPr>
          <w:rFonts w:ascii="Times New Roman" w:eastAsia="Calibri" w:hAnsi="Times New Roman" w:cs="Times New Roman"/>
          <w:sz w:val="26"/>
          <w:szCs w:val="26"/>
        </w:rPr>
        <w:t>соответственно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,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сахара 3,4 процента, на 15,9 процента, (в 1,7 раза), кондитерских изделий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- 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3,3 процента,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8,4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(в 1,2 раза), плодов и ягод - 3,0 процента, больше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8,8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(в 1,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6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раза). </w:t>
      </w:r>
    </w:p>
    <w:p w14:paraId="1FC0E052" w14:textId="77777777" w:rsidR="00613879" w:rsidRPr="00613879" w:rsidRDefault="0061387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Реализация безалкогольных напитков увеличилась по сравнению с предыдущим годом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4,4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процента, а алкогольных напитков, напротив, снизилась – на 5,2 процента, а их доля в общем объеме реализации продовольственных товаров снизилась с 11 процентов в 2015г. до 7 процентов в 2019г.</w:t>
      </w:r>
    </w:p>
    <w:p w14:paraId="456A7E15" w14:textId="77777777" w:rsidR="00613879" w:rsidRPr="00613879" w:rsidRDefault="00613879" w:rsidP="0061387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  <w:lang w:val="ky-KG"/>
        </w:rPr>
        <w:lastRenderedPageBreak/>
        <w:t>Реализация основных видов продовольственных товаров в 2019г.</w:t>
      </w:r>
    </w:p>
    <w:p w14:paraId="2173D2BC" w14:textId="77777777" w:rsidR="00613879" w:rsidRPr="00613879" w:rsidRDefault="00613879" w:rsidP="00613879">
      <w:pPr>
        <w:spacing w:after="120" w:line="288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13879">
        <w:rPr>
          <w:rFonts w:ascii="Times New Roman" w:eastAsia="Calibri" w:hAnsi="Times New Roman" w:cs="Times New Roman"/>
          <w:b/>
          <w:i/>
          <w:sz w:val="18"/>
          <w:szCs w:val="18"/>
        </w:rPr>
        <w:t>(в процентах</w:t>
      </w:r>
      <w:r w:rsidRPr="00613879">
        <w:rPr>
          <w:rFonts w:ascii="Times New Roman" w:eastAsia="Calibri" w:hAnsi="Times New Roman" w:cs="Times New Roman"/>
          <w:b/>
          <w:i/>
          <w:sz w:val="18"/>
          <w:szCs w:val="18"/>
          <w:lang w:val="ky-KG"/>
        </w:rPr>
        <w:t xml:space="preserve"> к итогу</w:t>
      </w:r>
      <w:r w:rsidRPr="00613879">
        <w:rPr>
          <w:rFonts w:ascii="Times New Roman" w:eastAsia="Calibri" w:hAnsi="Times New Roman" w:cs="Times New Roman"/>
          <w:b/>
          <w:i/>
          <w:sz w:val="18"/>
          <w:szCs w:val="18"/>
        </w:rPr>
        <w:t>)</w:t>
      </w:r>
    </w:p>
    <w:p w14:paraId="7368275F" w14:textId="77777777" w:rsidR="00613879" w:rsidRPr="00613879" w:rsidRDefault="00613879" w:rsidP="00613879">
      <w:pPr>
        <w:spacing w:after="0" w:line="288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56123C" wp14:editId="7E065DD0">
            <wp:extent cx="5173656" cy="2483674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76" cy="249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B66BD" w14:textId="77777777" w:rsidR="00613879" w:rsidRPr="00613879" w:rsidRDefault="00613879" w:rsidP="00613879">
      <w:pPr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Рост объемов оборота розничной торговли в 2019г. наблюдался во всех регионах республики. Наибольший удельный вес в объеме оборота розничной торговли республики занимает </w:t>
      </w:r>
      <w:proofErr w:type="spellStart"/>
      <w:r w:rsidRPr="00613879">
        <w:rPr>
          <w:rFonts w:ascii="Times New Roman" w:eastAsia="Calibri" w:hAnsi="Times New Roman" w:cs="Times New Roman"/>
          <w:sz w:val="26"/>
          <w:szCs w:val="26"/>
        </w:rPr>
        <w:t>г.Бишкек</w:t>
      </w:r>
      <w:proofErr w:type="spellEnd"/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(более 37 процентов), </w:t>
      </w:r>
      <w:proofErr w:type="spellStart"/>
      <w:r w:rsidRPr="00613879">
        <w:rPr>
          <w:rFonts w:ascii="Times New Roman" w:eastAsia="Calibri" w:hAnsi="Times New Roman" w:cs="Times New Roman"/>
          <w:sz w:val="26"/>
          <w:szCs w:val="26"/>
        </w:rPr>
        <w:t>Джалал-Абадская</w:t>
      </w:r>
      <w:proofErr w:type="spellEnd"/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область (около 16 процентов) и Чуйская область (более14 процентов).</w:t>
      </w:r>
    </w:p>
    <w:p w14:paraId="19614AFC" w14:textId="77777777" w:rsidR="00613879" w:rsidRPr="00613879" w:rsidRDefault="00613879" w:rsidP="00613879">
      <w:pPr>
        <w:keepNext/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>Объем оборота розничной торговли, по территории в 2019г.</w:t>
      </w:r>
    </w:p>
    <w:p w14:paraId="448675CC" w14:textId="77777777" w:rsidR="00613879" w:rsidRPr="00613879" w:rsidRDefault="00613879" w:rsidP="00613879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13879">
        <w:rPr>
          <w:rFonts w:ascii="Times New Roman" w:eastAsia="Calibri" w:hAnsi="Times New Roman" w:cs="Times New Roman"/>
          <w:i/>
          <w:sz w:val="20"/>
          <w:szCs w:val="20"/>
        </w:rPr>
        <w:t>(В процентах к общему объему)</w:t>
      </w:r>
    </w:p>
    <w:p w14:paraId="7561DB30" w14:textId="77777777" w:rsidR="00613879" w:rsidRPr="00613879" w:rsidRDefault="00613879" w:rsidP="00613879">
      <w:pPr>
        <w:keepNext/>
        <w:spacing w:before="240" w:after="0" w:line="288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49EDFC" wp14:editId="103BB0B2">
            <wp:extent cx="5403215" cy="2647665"/>
            <wp:effectExtent l="0" t="0" r="6985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22B699" w14:textId="77777777" w:rsidR="00613879" w:rsidRPr="00613879" w:rsidRDefault="00613879" w:rsidP="00613879">
      <w:pPr>
        <w:spacing w:before="240"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В 2019г. объем оборота предприятий питания по сравнению с 2018г. увеличился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7,4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и составил 22,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3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млрд. сомов, а по сравнению с 2015г. он повысился - в 1,5 раза. </w:t>
      </w:r>
    </w:p>
    <w:p w14:paraId="3CC3F6A8" w14:textId="77777777" w:rsidR="00613879" w:rsidRPr="00613879" w:rsidRDefault="00613879" w:rsidP="00613879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Рост объемов оборота предприятий питания в 2019г. по сравнению с 2018г. обеспечен всеми регионами республики. </w:t>
      </w:r>
    </w:p>
    <w:p w14:paraId="44DA5429" w14:textId="3BA2C406" w:rsidR="00613879" w:rsidRPr="00613879" w:rsidRDefault="00613879" w:rsidP="00613879">
      <w:pPr>
        <w:spacing w:before="120" w:after="40" w:line="240" w:lineRule="auto"/>
        <w:ind w:left="1304" w:hanging="130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>Объем оборота предприятий питания по территории в 2019г.</w:t>
      </w:r>
    </w:p>
    <w:tbl>
      <w:tblPr>
        <w:tblStyle w:val="a7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560"/>
        <w:gridCol w:w="1552"/>
      </w:tblGrid>
      <w:tr w:rsidR="00613879" w:rsidRPr="00613879" w14:paraId="1B1CD352" w14:textId="77777777" w:rsidTr="0033062E">
        <w:trPr>
          <w:tblHeader/>
        </w:trPr>
        <w:tc>
          <w:tcPr>
            <w:tcW w:w="32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DB8D87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FD12559" w14:textId="77777777" w:rsidR="00613879" w:rsidRPr="00613879" w:rsidRDefault="00613879" w:rsidP="006138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Млн. сомов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5928EBE" w14:textId="77777777" w:rsidR="00613879" w:rsidRPr="00613879" w:rsidRDefault="00613879" w:rsidP="006138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В процентах</w:t>
            </w:r>
          </w:p>
          <w:p w14:paraId="627AC678" w14:textId="77777777" w:rsidR="00613879" w:rsidRPr="00613879" w:rsidRDefault="00613879" w:rsidP="006138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к предыдущем</w:t>
            </w:r>
            <w:r w:rsidRPr="00613879">
              <w:rPr>
                <w:rFonts w:ascii="Times New Roman" w:eastAsia="Calibri" w:hAnsi="Times New Roman" w:cs="Times New Roman"/>
                <w:b/>
                <w:lang w:val="ky-KG"/>
              </w:rPr>
              <w:t>у</w:t>
            </w:r>
            <w:r w:rsidRPr="00613879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  <w:tr w:rsidR="00613879" w:rsidRPr="00613879" w14:paraId="1A466ED5" w14:textId="77777777" w:rsidTr="0033062E">
        <w:trPr>
          <w:tblHeader/>
        </w:trPr>
        <w:tc>
          <w:tcPr>
            <w:tcW w:w="325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E3AF94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D3A2D9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1B2FC1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03DF8B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2015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A3CEEF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</w:tr>
      <w:tr w:rsidR="00613879" w:rsidRPr="00613879" w14:paraId="68471416" w14:textId="77777777" w:rsidTr="0033062E">
        <w:trPr>
          <w:trHeight w:hRule="exact" w:val="284"/>
        </w:trPr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16AA36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13879">
              <w:rPr>
                <w:rFonts w:ascii="Times New Roman" w:eastAsia="Calibri" w:hAnsi="Times New Roman" w:cs="Times New Roman"/>
                <w:b/>
              </w:rPr>
              <w:t>Кыргызская</w:t>
            </w:r>
            <w:proofErr w:type="spellEnd"/>
            <w:r w:rsidRPr="00613879">
              <w:rPr>
                <w:rFonts w:ascii="Times New Roman" w:eastAsia="Calibri" w:hAnsi="Times New Roman" w:cs="Times New Roman"/>
                <w:b/>
              </w:rPr>
              <w:t xml:space="preserve"> Республика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8CA25F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16 625,8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3DFEA9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b/>
                <w:lang w:val="ky-KG"/>
              </w:rPr>
              <w:t>22 283,1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5F85AB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109,0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97B6A8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b/>
                <w:lang w:val="ky-KG"/>
              </w:rPr>
              <w:t>107,4</w:t>
            </w:r>
          </w:p>
        </w:tc>
      </w:tr>
      <w:tr w:rsidR="00613879" w:rsidRPr="00613879" w14:paraId="526DAF6C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9DA6DA8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Баткенская</w:t>
            </w:r>
            <w:proofErr w:type="spellEnd"/>
            <w:r w:rsidRPr="0061387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AD7B75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736,8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65FE89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1 023,0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E2AF1B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B645068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102,8</w:t>
            </w:r>
          </w:p>
        </w:tc>
      </w:tr>
      <w:tr w:rsidR="00613879" w:rsidRPr="00613879" w14:paraId="37EDD439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EFB5FF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Джалал-Абадская</w:t>
            </w:r>
            <w:proofErr w:type="spellEnd"/>
            <w:r w:rsidRPr="0061387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25E9D5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2 423,8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883CF6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3 054,7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978621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90174E2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104,3</w:t>
            </w:r>
          </w:p>
        </w:tc>
      </w:tr>
      <w:tr w:rsidR="00613879" w:rsidRPr="00613879" w14:paraId="2F9D0E56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F36B8B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Ис</w:t>
            </w:r>
            <w:proofErr w:type="spellEnd"/>
            <w:r w:rsidRPr="00613879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ык-Кульская</w:t>
            </w:r>
            <w:proofErr w:type="spellEnd"/>
            <w:r w:rsidRPr="0061387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18F5C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446,7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958A6D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564,7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EC2E72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FBEA3C1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102,6</w:t>
            </w:r>
          </w:p>
        </w:tc>
      </w:tr>
      <w:tr w:rsidR="00613879" w:rsidRPr="00613879" w14:paraId="45401FE8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73BD04F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Нарынская</w:t>
            </w:r>
            <w:proofErr w:type="spellEnd"/>
            <w:r w:rsidRPr="0061387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B34317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65,9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217B68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83,2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882B83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9F9F531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102,0</w:t>
            </w:r>
          </w:p>
        </w:tc>
      </w:tr>
      <w:tr w:rsidR="00613879" w:rsidRPr="00613879" w14:paraId="652D93A5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814EF95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Ошская</w:t>
            </w:r>
            <w:proofErr w:type="spellEnd"/>
            <w:r w:rsidRPr="0061387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37FAF9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997,9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4061D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1 162,9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8B5058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A95F038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103,1</w:t>
            </w:r>
          </w:p>
        </w:tc>
      </w:tr>
      <w:tr w:rsidR="00613879" w:rsidRPr="00613879" w14:paraId="56218AF8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861229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Таласская</w:t>
            </w:r>
            <w:proofErr w:type="spellEnd"/>
            <w:r w:rsidRPr="0061387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7373FA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219,3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3529CB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253,3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9120C5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6A2FF1C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105,1</w:t>
            </w:r>
          </w:p>
        </w:tc>
      </w:tr>
      <w:tr w:rsidR="00613879" w:rsidRPr="00613879" w14:paraId="01E18540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FDD35F7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6C37D2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1 221,2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A64D22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1 529,2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E9BCA9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5F778CA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106,4</w:t>
            </w:r>
          </w:p>
        </w:tc>
      </w:tr>
      <w:tr w:rsidR="00613879" w:rsidRPr="00613879" w14:paraId="21CCC40A" w14:textId="77777777" w:rsidTr="00613879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3C18DA4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г. Бишкек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63988E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8 528,8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E07778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11 964,5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54286A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B9F1A9C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</w:rPr>
              <w:t>109,</w:t>
            </w:r>
            <w:r w:rsidRPr="00613879">
              <w:rPr>
                <w:rFonts w:ascii="Times New Roman" w:eastAsia="Calibri" w:hAnsi="Times New Roman" w:cs="Times New Roman"/>
                <w:lang w:val="ky-KG"/>
              </w:rPr>
              <w:t>8</w:t>
            </w:r>
          </w:p>
        </w:tc>
      </w:tr>
      <w:tr w:rsidR="00613879" w:rsidRPr="00613879" w14:paraId="0C55BCBF" w14:textId="77777777" w:rsidTr="0033062E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8986BA" w14:textId="77777777" w:rsidR="00613879" w:rsidRPr="00613879" w:rsidRDefault="00613879" w:rsidP="00613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г.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027846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1 985,4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CCBBB8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2 647,6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4A54B7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>106,9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A0DD47" w14:textId="77777777" w:rsidR="00613879" w:rsidRPr="00613879" w:rsidRDefault="00613879" w:rsidP="00613879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 w:rsidRPr="00613879">
              <w:rPr>
                <w:rFonts w:ascii="Times New Roman" w:eastAsia="Calibri" w:hAnsi="Times New Roman" w:cs="Times New Roman"/>
                <w:lang w:val="ky-KG"/>
              </w:rPr>
              <w:t>106,2</w:t>
            </w:r>
          </w:p>
        </w:tc>
      </w:tr>
    </w:tbl>
    <w:p w14:paraId="50369798" w14:textId="77777777" w:rsidR="00613879" w:rsidRPr="00613879" w:rsidRDefault="0061387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В 2019г. объем оборота розничной торговли, в целом по республике в расчете на душу населения составил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65,1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тыс. сомов, что на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2,5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больше уровня 2018г. При этом, 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его распределение </w:t>
      </w:r>
      <w:r w:rsidRPr="00613879">
        <w:rPr>
          <w:rFonts w:ascii="Times New Roman" w:eastAsia="Calibri" w:hAnsi="Times New Roman" w:cs="Times New Roman"/>
          <w:sz w:val="26"/>
          <w:szCs w:val="26"/>
        </w:rPr>
        <w:t>по регионам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,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13879">
        <w:rPr>
          <w:rFonts w:ascii="Times New Roman" w:eastAsia="Calibri" w:hAnsi="Times New Roman" w:cs="Times New Roman"/>
          <w:sz w:val="26"/>
          <w:szCs w:val="26"/>
        </w:rPr>
        <w:t>неодин</w:t>
      </w:r>
      <w:proofErr w:type="spellEnd"/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>аково</w:t>
      </w:r>
      <w:r w:rsidRPr="00613879">
        <w:rPr>
          <w:rFonts w:ascii="Times New Roman" w:eastAsia="Calibri" w:hAnsi="Times New Roman" w:cs="Times New Roman"/>
          <w:sz w:val="26"/>
          <w:szCs w:val="26"/>
        </w:rPr>
        <w:t>. Так, если в городах Бишкек и Ош объемы оборота</w:t>
      </w:r>
      <w:r w:rsidRPr="00613879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хозяйствующих суъектов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розничной торговли на душу населения превысили среднереспубликанский показатель в 2 раза, то в </w:t>
      </w:r>
      <w:proofErr w:type="spellStart"/>
      <w:r w:rsidRPr="00613879">
        <w:rPr>
          <w:rFonts w:ascii="Times New Roman" w:eastAsia="Calibri" w:hAnsi="Times New Roman" w:cs="Times New Roman"/>
          <w:sz w:val="26"/>
          <w:szCs w:val="26"/>
        </w:rPr>
        <w:t>Ошской</w:t>
      </w:r>
      <w:proofErr w:type="spellEnd"/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613879">
        <w:rPr>
          <w:rFonts w:ascii="Times New Roman" w:eastAsia="Calibri" w:hAnsi="Times New Roman" w:cs="Times New Roman"/>
          <w:sz w:val="26"/>
          <w:szCs w:val="26"/>
        </w:rPr>
        <w:t>Нарынской</w:t>
      </w:r>
      <w:proofErr w:type="spellEnd"/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областях, напротив, этот показатель ниже среднереспубликанского в 2,2 раза, </w:t>
      </w:r>
      <w:proofErr w:type="spellStart"/>
      <w:r w:rsidRPr="00613879">
        <w:rPr>
          <w:rFonts w:ascii="Times New Roman" w:eastAsia="Calibri" w:hAnsi="Times New Roman" w:cs="Times New Roman"/>
          <w:sz w:val="26"/>
          <w:szCs w:val="26"/>
        </w:rPr>
        <w:t>Баткенской</w:t>
      </w:r>
      <w:proofErr w:type="spellEnd"/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области – в 2 раза.</w:t>
      </w:r>
    </w:p>
    <w:p w14:paraId="59628280" w14:textId="77777777" w:rsidR="00613879" w:rsidRDefault="0061387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504B89FA" w14:textId="77777777" w:rsidR="00B154F9" w:rsidRDefault="00B154F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CF92B89" w14:textId="77777777" w:rsidR="00B154F9" w:rsidRDefault="00B154F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08204D" w14:textId="77777777" w:rsidR="00B154F9" w:rsidRDefault="00B154F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CC1BCB" w14:textId="77777777" w:rsidR="00B154F9" w:rsidRDefault="00B154F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52EAEC" w14:textId="77777777" w:rsidR="00B154F9" w:rsidRDefault="00B154F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0B5812" w14:textId="77777777" w:rsidR="00B154F9" w:rsidRPr="00613879" w:rsidRDefault="00B154F9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3D299F" w14:textId="24B99472" w:rsidR="00613879" w:rsidRDefault="00B154F9" w:rsidP="00613879">
      <w:pPr>
        <w:pStyle w:val="a3"/>
        <w:spacing w:after="120"/>
        <w:jc w:val="left"/>
        <w:rPr>
          <w:rFonts w:ascii="Times New Roman" w:eastAsia="Calibri" w:hAnsi="Times New Roman"/>
          <w:b/>
          <w:szCs w:val="24"/>
          <w:lang w:eastAsia="en-US"/>
        </w:rPr>
      </w:pPr>
      <w:r w:rsidRPr="00B154F9">
        <w:rPr>
          <w:rFonts w:ascii="Times New Roman" w:eastAsia="Calibri" w:hAnsi="Times New Roman"/>
          <w:b/>
          <w:szCs w:val="24"/>
          <w:lang w:eastAsia="en-US"/>
        </w:rPr>
        <w:t>Отдел статистики потребительского рынка</w:t>
      </w:r>
      <w:r>
        <w:rPr>
          <w:rFonts w:ascii="Times New Roman" w:eastAsia="Calibri" w:hAnsi="Times New Roman"/>
          <w:b/>
          <w:szCs w:val="24"/>
          <w:lang w:eastAsia="en-US"/>
        </w:rPr>
        <w:t>, ИКТ и туризма</w:t>
      </w:r>
    </w:p>
    <w:p w14:paraId="45CB5646" w14:textId="60D7C5B1" w:rsidR="00B154F9" w:rsidRDefault="00B154F9" w:rsidP="00613879">
      <w:pPr>
        <w:pStyle w:val="a3"/>
        <w:spacing w:after="120"/>
        <w:jc w:val="left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Управления статистики торговли, ИКТ и туризма</w:t>
      </w:r>
    </w:p>
    <w:p w14:paraId="617F82DB" w14:textId="12DCB600" w:rsidR="00B154F9" w:rsidRPr="00B154F9" w:rsidRDefault="00B154F9" w:rsidP="00613879">
      <w:pPr>
        <w:pStyle w:val="a3"/>
        <w:spacing w:after="120"/>
        <w:jc w:val="left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0 (312) 324650, 324725, 664166</w:t>
      </w:r>
    </w:p>
    <w:sectPr w:rsidR="00B154F9" w:rsidRPr="00B154F9" w:rsidSect="00B154F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1B9D" w14:textId="77777777" w:rsidR="00D91273" w:rsidRDefault="00D91273" w:rsidP="00A26644">
      <w:pPr>
        <w:spacing w:after="0" w:line="240" w:lineRule="auto"/>
      </w:pPr>
      <w:r>
        <w:separator/>
      </w:r>
    </w:p>
  </w:endnote>
  <w:endnote w:type="continuationSeparator" w:id="0">
    <w:p w14:paraId="71C5656F" w14:textId="77777777" w:rsidR="00D91273" w:rsidRDefault="00D91273" w:rsidP="00A2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7738"/>
      <w:docPartObj>
        <w:docPartGallery w:val="Page Numbers (Bottom of Page)"/>
        <w:docPartUnique/>
      </w:docPartObj>
    </w:sdtPr>
    <w:sdtEndPr/>
    <w:sdtContent>
      <w:p w14:paraId="7D9F9917" w14:textId="77777777" w:rsidR="00F35718" w:rsidRDefault="00F35718" w:rsidP="00A266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F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BF51" w14:textId="77777777" w:rsidR="00D91273" w:rsidRDefault="00D91273" w:rsidP="00A26644">
      <w:pPr>
        <w:spacing w:after="0" w:line="240" w:lineRule="auto"/>
      </w:pPr>
      <w:r>
        <w:separator/>
      </w:r>
    </w:p>
  </w:footnote>
  <w:footnote w:type="continuationSeparator" w:id="0">
    <w:p w14:paraId="323097F6" w14:textId="77777777" w:rsidR="00D91273" w:rsidRDefault="00D91273" w:rsidP="00A26644">
      <w:pPr>
        <w:spacing w:after="0" w:line="240" w:lineRule="auto"/>
      </w:pPr>
      <w:r>
        <w:continuationSeparator/>
      </w:r>
    </w:p>
  </w:footnote>
  <w:footnote w:id="1">
    <w:p w14:paraId="5CF64F77" w14:textId="77777777" w:rsidR="00613879" w:rsidRDefault="00613879" w:rsidP="00613879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4"/>
        </w:rPr>
        <w:footnoteRef/>
      </w:r>
      <w:r>
        <w:t xml:space="preserve"> О</w:t>
      </w:r>
      <w:r w:rsidRPr="00B028C0">
        <w:rPr>
          <w:rFonts w:ascii="Times New Roman" w:hAnsi="Times New Roman" w:cs="Times New Roman"/>
          <w:sz w:val="18"/>
          <w:szCs w:val="18"/>
        </w:rPr>
        <w:t>борот розничной торговли включает оборот розничной торговли моторным топливом, розничной торговли автомобилями, мотоциклами и оборот предприятий питания (ресторанов, кафе, баров, столовых и др.)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028C0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05367E9" w14:textId="77777777" w:rsidR="00613879" w:rsidRDefault="00613879" w:rsidP="00613879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38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054F"/>
    <w:multiLevelType w:val="hybridMultilevel"/>
    <w:tmpl w:val="970C3F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0F4A6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60699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77C54"/>
    <w:multiLevelType w:val="hybridMultilevel"/>
    <w:tmpl w:val="0494EF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DB3763"/>
    <w:multiLevelType w:val="multilevel"/>
    <w:tmpl w:val="08F2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0246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42065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87AFD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C5144"/>
    <w:multiLevelType w:val="hybridMultilevel"/>
    <w:tmpl w:val="7386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B0B5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01EA2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1"/>
    <w:rsid w:val="00025AE2"/>
    <w:rsid w:val="000270B6"/>
    <w:rsid w:val="00032F1E"/>
    <w:rsid w:val="00041369"/>
    <w:rsid w:val="00067C92"/>
    <w:rsid w:val="00082885"/>
    <w:rsid w:val="00084229"/>
    <w:rsid w:val="00090604"/>
    <w:rsid w:val="00095EB5"/>
    <w:rsid w:val="000A263E"/>
    <w:rsid w:val="000A3604"/>
    <w:rsid w:val="000B4ADC"/>
    <w:rsid w:val="000B58EA"/>
    <w:rsid w:val="000C0EFF"/>
    <w:rsid w:val="000C6E06"/>
    <w:rsid w:val="000F5682"/>
    <w:rsid w:val="000F5E5E"/>
    <w:rsid w:val="001001CE"/>
    <w:rsid w:val="00104734"/>
    <w:rsid w:val="00107854"/>
    <w:rsid w:val="00145113"/>
    <w:rsid w:val="0015419C"/>
    <w:rsid w:val="00160FC7"/>
    <w:rsid w:val="001649D4"/>
    <w:rsid w:val="00164ADF"/>
    <w:rsid w:val="00173E12"/>
    <w:rsid w:val="0019675B"/>
    <w:rsid w:val="001C1D31"/>
    <w:rsid w:val="001D5084"/>
    <w:rsid w:val="001D7CF7"/>
    <w:rsid w:val="001E2CB1"/>
    <w:rsid w:val="001E62D0"/>
    <w:rsid w:val="001F3CEE"/>
    <w:rsid w:val="002015AE"/>
    <w:rsid w:val="002036E7"/>
    <w:rsid w:val="00223BC5"/>
    <w:rsid w:val="00243C73"/>
    <w:rsid w:val="00281D96"/>
    <w:rsid w:val="00284973"/>
    <w:rsid w:val="002864E0"/>
    <w:rsid w:val="00291C58"/>
    <w:rsid w:val="002943D4"/>
    <w:rsid w:val="002A4BCD"/>
    <w:rsid w:val="002D7CC5"/>
    <w:rsid w:val="002E221E"/>
    <w:rsid w:val="002E2DEA"/>
    <w:rsid w:val="003050FF"/>
    <w:rsid w:val="0031690F"/>
    <w:rsid w:val="00326CB0"/>
    <w:rsid w:val="003365B0"/>
    <w:rsid w:val="00360F1E"/>
    <w:rsid w:val="0036399F"/>
    <w:rsid w:val="003767F2"/>
    <w:rsid w:val="00387C89"/>
    <w:rsid w:val="00394099"/>
    <w:rsid w:val="003A4F8A"/>
    <w:rsid w:val="003A6D7C"/>
    <w:rsid w:val="003B59E0"/>
    <w:rsid w:val="003E0FAC"/>
    <w:rsid w:val="003F2779"/>
    <w:rsid w:val="0040015C"/>
    <w:rsid w:val="00407294"/>
    <w:rsid w:val="0040797F"/>
    <w:rsid w:val="00436204"/>
    <w:rsid w:val="004363AF"/>
    <w:rsid w:val="00443E03"/>
    <w:rsid w:val="00484DE7"/>
    <w:rsid w:val="004A451B"/>
    <w:rsid w:val="004B309A"/>
    <w:rsid w:val="004B5333"/>
    <w:rsid w:val="004C20F2"/>
    <w:rsid w:val="004E2900"/>
    <w:rsid w:val="004E4D46"/>
    <w:rsid w:val="004F0CC8"/>
    <w:rsid w:val="004F28C3"/>
    <w:rsid w:val="005067DA"/>
    <w:rsid w:val="0051167A"/>
    <w:rsid w:val="005215C7"/>
    <w:rsid w:val="00522CDB"/>
    <w:rsid w:val="00544C25"/>
    <w:rsid w:val="00562103"/>
    <w:rsid w:val="00564CBC"/>
    <w:rsid w:val="00570F46"/>
    <w:rsid w:val="005748F2"/>
    <w:rsid w:val="00585231"/>
    <w:rsid w:val="005A192C"/>
    <w:rsid w:val="005A4CC5"/>
    <w:rsid w:val="005A5B8D"/>
    <w:rsid w:val="005B53A0"/>
    <w:rsid w:val="005B6034"/>
    <w:rsid w:val="005D564F"/>
    <w:rsid w:val="005E244D"/>
    <w:rsid w:val="005E5D8B"/>
    <w:rsid w:val="005F2EA7"/>
    <w:rsid w:val="0060755B"/>
    <w:rsid w:val="00613879"/>
    <w:rsid w:val="006930E5"/>
    <w:rsid w:val="006A41EE"/>
    <w:rsid w:val="006B05EF"/>
    <w:rsid w:val="006D0479"/>
    <w:rsid w:val="006D0C8C"/>
    <w:rsid w:val="006F4D37"/>
    <w:rsid w:val="00705ACD"/>
    <w:rsid w:val="00714791"/>
    <w:rsid w:val="00717073"/>
    <w:rsid w:val="0072693A"/>
    <w:rsid w:val="00736671"/>
    <w:rsid w:val="0073793C"/>
    <w:rsid w:val="00751E87"/>
    <w:rsid w:val="0078131B"/>
    <w:rsid w:val="00784A4D"/>
    <w:rsid w:val="00787A2B"/>
    <w:rsid w:val="007A2222"/>
    <w:rsid w:val="007A65E9"/>
    <w:rsid w:val="007B670E"/>
    <w:rsid w:val="007C6FF8"/>
    <w:rsid w:val="007F43C8"/>
    <w:rsid w:val="00811B77"/>
    <w:rsid w:val="00814FCE"/>
    <w:rsid w:val="00815462"/>
    <w:rsid w:val="00821E2F"/>
    <w:rsid w:val="00824701"/>
    <w:rsid w:val="00825A05"/>
    <w:rsid w:val="00844003"/>
    <w:rsid w:val="00856FE7"/>
    <w:rsid w:val="008C2A52"/>
    <w:rsid w:val="008D0EFE"/>
    <w:rsid w:val="008D1C77"/>
    <w:rsid w:val="008D54E6"/>
    <w:rsid w:val="008E07C2"/>
    <w:rsid w:val="008E0A01"/>
    <w:rsid w:val="008F17D4"/>
    <w:rsid w:val="0090532B"/>
    <w:rsid w:val="00923C00"/>
    <w:rsid w:val="0092631D"/>
    <w:rsid w:val="009369F5"/>
    <w:rsid w:val="00944217"/>
    <w:rsid w:val="009578CA"/>
    <w:rsid w:val="00960D3B"/>
    <w:rsid w:val="009845D6"/>
    <w:rsid w:val="00985DAB"/>
    <w:rsid w:val="00986E42"/>
    <w:rsid w:val="00993A88"/>
    <w:rsid w:val="009A5EE1"/>
    <w:rsid w:val="009C229D"/>
    <w:rsid w:val="009D08F7"/>
    <w:rsid w:val="009F15BA"/>
    <w:rsid w:val="00A14B6A"/>
    <w:rsid w:val="00A247B3"/>
    <w:rsid w:val="00A26644"/>
    <w:rsid w:val="00A26721"/>
    <w:rsid w:val="00A3200B"/>
    <w:rsid w:val="00A37BE3"/>
    <w:rsid w:val="00A40836"/>
    <w:rsid w:val="00A47575"/>
    <w:rsid w:val="00A52FB7"/>
    <w:rsid w:val="00A56A46"/>
    <w:rsid w:val="00A60C06"/>
    <w:rsid w:val="00A61836"/>
    <w:rsid w:val="00A65D9C"/>
    <w:rsid w:val="00A741A8"/>
    <w:rsid w:val="00A749FF"/>
    <w:rsid w:val="00A75B64"/>
    <w:rsid w:val="00A912AE"/>
    <w:rsid w:val="00AA7967"/>
    <w:rsid w:val="00AE3B8F"/>
    <w:rsid w:val="00B154F9"/>
    <w:rsid w:val="00B32F04"/>
    <w:rsid w:val="00B36034"/>
    <w:rsid w:val="00B379DE"/>
    <w:rsid w:val="00B60A43"/>
    <w:rsid w:val="00B7375F"/>
    <w:rsid w:val="00B809B5"/>
    <w:rsid w:val="00B845D8"/>
    <w:rsid w:val="00B950F9"/>
    <w:rsid w:val="00BA61BB"/>
    <w:rsid w:val="00BD7194"/>
    <w:rsid w:val="00BE340B"/>
    <w:rsid w:val="00BF0EAB"/>
    <w:rsid w:val="00BF3132"/>
    <w:rsid w:val="00BF3A30"/>
    <w:rsid w:val="00BF50BC"/>
    <w:rsid w:val="00BF620B"/>
    <w:rsid w:val="00C04280"/>
    <w:rsid w:val="00C07A8E"/>
    <w:rsid w:val="00C10F7C"/>
    <w:rsid w:val="00C16B0A"/>
    <w:rsid w:val="00C22C8B"/>
    <w:rsid w:val="00C64AD7"/>
    <w:rsid w:val="00C72723"/>
    <w:rsid w:val="00C90529"/>
    <w:rsid w:val="00CC4D13"/>
    <w:rsid w:val="00CD2744"/>
    <w:rsid w:val="00CE5DC2"/>
    <w:rsid w:val="00CF2D78"/>
    <w:rsid w:val="00CF51D4"/>
    <w:rsid w:val="00CF6989"/>
    <w:rsid w:val="00D05A22"/>
    <w:rsid w:val="00D077D8"/>
    <w:rsid w:val="00D147A7"/>
    <w:rsid w:val="00D305CF"/>
    <w:rsid w:val="00D35DA7"/>
    <w:rsid w:val="00D6049A"/>
    <w:rsid w:val="00D60E69"/>
    <w:rsid w:val="00D615A0"/>
    <w:rsid w:val="00D80284"/>
    <w:rsid w:val="00D91273"/>
    <w:rsid w:val="00D939F1"/>
    <w:rsid w:val="00D95114"/>
    <w:rsid w:val="00D96FF0"/>
    <w:rsid w:val="00DA2467"/>
    <w:rsid w:val="00DA454D"/>
    <w:rsid w:val="00DC3FC9"/>
    <w:rsid w:val="00DD6657"/>
    <w:rsid w:val="00E035F1"/>
    <w:rsid w:val="00E1009D"/>
    <w:rsid w:val="00E47D73"/>
    <w:rsid w:val="00E86117"/>
    <w:rsid w:val="00EB62C1"/>
    <w:rsid w:val="00EB7F4C"/>
    <w:rsid w:val="00EE2B4E"/>
    <w:rsid w:val="00EF22A3"/>
    <w:rsid w:val="00F16AD6"/>
    <w:rsid w:val="00F35718"/>
    <w:rsid w:val="00F36CE6"/>
    <w:rsid w:val="00F4343D"/>
    <w:rsid w:val="00F448B7"/>
    <w:rsid w:val="00F44A86"/>
    <w:rsid w:val="00F57091"/>
    <w:rsid w:val="00F5755B"/>
    <w:rsid w:val="00F7185A"/>
    <w:rsid w:val="00F85261"/>
    <w:rsid w:val="00F90117"/>
    <w:rsid w:val="00F965C1"/>
    <w:rsid w:val="00FB60D0"/>
    <w:rsid w:val="00FB75BB"/>
    <w:rsid w:val="00FD31B0"/>
    <w:rsid w:val="00FE2600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E2E"/>
  <w15:docId w15:val="{7033D367-CD0A-49BB-9E37-FC3992C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E0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6E0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36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9F5"/>
  </w:style>
  <w:style w:type="paragraph" w:styleId="a8">
    <w:name w:val="Body Text Indent"/>
    <w:basedOn w:val="a"/>
    <w:link w:val="a9"/>
    <w:uiPriority w:val="99"/>
    <w:semiHidden/>
    <w:unhideWhenUsed/>
    <w:rsid w:val="003169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690F"/>
  </w:style>
  <w:style w:type="paragraph" w:styleId="3">
    <w:name w:val="Body Text Indent 3"/>
    <w:basedOn w:val="a"/>
    <w:link w:val="30"/>
    <w:uiPriority w:val="99"/>
    <w:semiHidden/>
    <w:unhideWhenUsed/>
    <w:rsid w:val="00B379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9DE"/>
    <w:rPr>
      <w:sz w:val="16"/>
      <w:szCs w:val="16"/>
    </w:rPr>
  </w:style>
  <w:style w:type="paragraph" w:styleId="aa">
    <w:name w:val="Normal (Web)"/>
    <w:basedOn w:val="a"/>
    <w:uiPriority w:val="99"/>
    <w:unhideWhenUsed/>
    <w:rsid w:val="001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7854"/>
    <w:rPr>
      <w:b/>
      <w:bCs/>
    </w:rPr>
  </w:style>
  <w:style w:type="paragraph" w:customStyle="1" w:styleId="ac">
    <w:name w:val="Знак Знак"/>
    <w:basedOn w:val="a"/>
    <w:rsid w:val="00BA6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E8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6644"/>
  </w:style>
  <w:style w:type="paragraph" w:styleId="af0">
    <w:name w:val="footer"/>
    <w:basedOn w:val="a"/>
    <w:link w:val="af1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6644"/>
  </w:style>
  <w:style w:type="paragraph" w:styleId="af2">
    <w:name w:val="footnote text"/>
    <w:basedOn w:val="a"/>
    <w:link w:val="af3"/>
    <w:uiPriority w:val="99"/>
    <w:semiHidden/>
    <w:unhideWhenUsed/>
    <w:rsid w:val="007A222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222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2222"/>
    <w:rPr>
      <w:vertAlign w:val="superscript"/>
    </w:rPr>
  </w:style>
  <w:style w:type="paragraph" w:styleId="af5">
    <w:name w:val="List Paragraph"/>
    <w:basedOn w:val="a"/>
    <w:uiPriority w:val="34"/>
    <w:qFormat/>
    <w:rsid w:val="00D305CF"/>
    <w:pPr>
      <w:ind w:left="720"/>
      <w:contextualSpacing/>
    </w:pPr>
  </w:style>
  <w:style w:type="paragraph" w:customStyle="1" w:styleId="31">
    <w:name w:val="Стиль3"/>
    <w:basedOn w:val="a"/>
    <w:rsid w:val="006138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857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7219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66786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67342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23183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260783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7076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762016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0881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7105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02584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18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Организованная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chemeClr val="tx1">
                  <a:alpha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52.8</c:v>
                </c:pt>
                <c:pt idx="1">
                  <c:v>53.7</c:v>
                </c:pt>
                <c:pt idx="2">
                  <c:v>56.2</c:v>
                </c:pt>
                <c:pt idx="3">
                  <c:v>57.5</c:v>
                </c:pt>
                <c:pt idx="4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Рынки</c:v>
                </c:pt>
              </c:strCache>
            </c:strRef>
          </c:tx>
          <c:spPr>
            <a:solidFill>
              <a:schemeClr val="bg2">
                <a:alpha val="64000"/>
              </a:schemeClr>
            </a:solidFill>
            <a:ln w="12700">
              <a:solidFill>
                <a:schemeClr val="tx1">
                  <a:alpha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47.2</c:v>
                </c:pt>
                <c:pt idx="1">
                  <c:v>46.3</c:v>
                </c:pt>
                <c:pt idx="2">
                  <c:v>43.8</c:v>
                </c:pt>
                <c:pt idx="3">
                  <c:v>42.5</c:v>
                </c:pt>
                <c:pt idx="4">
                  <c:v>41.7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3420144"/>
        <c:axId val="283416224"/>
      </c:barChart>
      <c:catAx>
        <c:axId val="28342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3416224"/>
        <c:crosses val="autoZero"/>
        <c:auto val="1"/>
        <c:lblAlgn val="ctr"/>
        <c:lblOffset val="100"/>
        <c:noMultiLvlLbl val="0"/>
      </c:catAx>
      <c:valAx>
        <c:axId val="28341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42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'Январь-декабрь (3)'!$G$11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'Январь-декабрь (3)'!$F$12:$F$20</c:f>
              <c:strCache>
                <c:ptCount val="9"/>
                <c:pt idx="0">
                  <c:v>Нарынская область</c:v>
                </c:pt>
                <c:pt idx="1">
                  <c:v>Таласская область</c:v>
                </c:pt>
                <c:pt idx="2">
                  <c:v>Баткенская область</c:v>
                </c:pt>
                <c:pt idx="3">
                  <c:v>Иссык-Кульская область</c:v>
                </c:pt>
                <c:pt idx="4">
                  <c:v>Ошская область</c:v>
                </c:pt>
                <c:pt idx="5">
                  <c:v>г.Ош</c:v>
                </c:pt>
                <c:pt idx="6">
                  <c:v>Чуйская область</c:v>
                </c:pt>
                <c:pt idx="7">
                  <c:v>Джалал-Абадская область</c:v>
                </c:pt>
                <c:pt idx="8">
                  <c:v>г.Бишкек</c:v>
                </c:pt>
              </c:strCache>
            </c:strRef>
          </c:cat>
          <c:val>
            <c:numRef>
              <c:f>'Январь-декабрь (3)'!$G$12:$G$20</c:f>
              <c:numCache>
                <c:formatCode>0.0</c:formatCode>
                <c:ptCount val="9"/>
                <c:pt idx="0">
                  <c:v>2.0272282672282671</c:v>
                </c:pt>
                <c:pt idx="1">
                  <c:v>3.2831012831012827</c:v>
                </c:pt>
                <c:pt idx="2">
                  <c:v>3.8</c:v>
                </c:pt>
                <c:pt idx="3">
                  <c:v>5</c:v>
                </c:pt>
                <c:pt idx="4">
                  <c:v>9.1</c:v>
                </c:pt>
                <c:pt idx="5">
                  <c:v>9.4</c:v>
                </c:pt>
                <c:pt idx="6">
                  <c:v>14.4</c:v>
                </c:pt>
                <c:pt idx="7">
                  <c:v>15.9</c:v>
                </c:pt>
                <c:pt idx="8">
                  <c:v>37.1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30-4F90-9FA4-1FC57F243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415440"/>
        <c:axId val="283416616"/>
      </c:barChart>
      <c:catAx>
        <c:axId val="28341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3416616"/>
        <c:crosses val="autoZero"/>
        <c:auto val="1"/>
        <c:lblAlgn val="ctr"/>
        <c:lblOffset val="100"/>
        <c:noMultiLvlLbl val="0"/>
      </c:catAx>
      <c:valAx>
        <c:axId val="2834166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41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3E6-EC04-4EA0-AB31-9F4921AB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Кыдыралиев Медербек Сапарбекович</dc:creator>
  <cp:lastModifiedBy>Чинаркуль Тунгатарова</cp:lastModifiedBy>
  <cp:revision>3</cp:revision>
  <cp:lastPrinted>2020-07-03T09:06:00Z</cp:lastPrinted>
  <dcterms:created xsi:type="dcterms:W3CDTF">2020-07-10T08:34:00Z</dcterms:created>
  <dcterms:modified xsi:type="dcterms:W3CDTF">2020-07-10T08:53:00Z</dcterms:modified>
</cp:coreProperties>
</file>