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3E" w:rsidRDefault="00C97B3E" w:rsidP="00C97B3E">
      <w:pPr>
        <w:rPr>
          <w:b/>
          <w:sz w:val="24"/>
          <w:szCs w:val="24"/>
        </w:rPr>
      </w:pPr>
      <w:r w:rsidRPr="00930D9F">
        <w:rPr>
          <w:b/>
          <w:sz w:val="24"/>
          <w:szCs w:val="24"/>
        </w:rPr>
        <w:t xml:space="preserve">Финансы предприятий </w:t>
      </w:r>
      <w:r>
        <w:rPr>
          <w:b/>
          <w:sz w:val="24"/>
          <w:szCs w:val="24"/>
        </w:rPr>
        <w:t xml:space="preserve">реального сектора экономики </w:t>
      </w:r>
    </w:p>
    <w:p w:rsidR="000C6B6A" w:rsidRPr="00C97B3E" w:rsidRDefault="00C97B3E" w:rsidP="00C97B3E">
      <w:pPr>
        <w:rPr>
          <w:b/>
          <w:sz w:val="24"/>
          <w:szCs w:val="24"/>
        </w:rPr>
      </w:pPr>
      <w:r w:rsidRPr="00930D9F">
        <w:rPr>
          <w:b/>
          <w:sz w:val="24"/>
          <w:szCs w:val="24"/>
        </w:rPr>
        <w:t>Кыргызской Республики в</w:t>
      </w:r>
      <w:r w:rsidR="000C6B6A" w:rsidRPr="004400FC">
        <w:rPr>
          <w:b/>
          <w:sz w:val="28"/>
          <w:szCs w:val="28"/>
        </w:rPr>
        <w:t xml:space="preserve"> </w:t>
      </w:r>
      <w:r w:rsidR="000C6B6A" w:rsidRPr="00C97B3E">
        <w:rPr>
          <w:b/>
          <w:sz w:val="24"/>
          <w:szCs w:val="24"/>
        </w:rPr>
        <w:t>2016-2020гг.</w:t>
      </w:r>
    </w:p>
    <w:p w:rsidR="000C6B6A" w:rsidRDefault="000C6B6A" w:rsidP="000C6B6A">
      <w:pPr>
        <w:pStyle w:val="2"/>
        <w:ind w:left="284"/>
        <w:rPr>
          <w:sz w:val="24"/>
          <w:szCs w:val="24"/>
        </w:rPr>
      </w:pPr>
    </w:p>
    <w:p w:rsidR="000C6B6A" w:rsidRPr="003953F3" w:rsidRDefault="000C6B6A" w:rsidP="000C6B6A">
      <w:pPr>
        <w:ind w:right="42" w:firstLine="709"/>
        <w:jc w:val="both"/>
        <w:rPr>
          <w:sz w:val="24"/>
          <w:szCs w:val="24"/>
        </w:rPr>
      </w:pPr>
      <w:r w:rsidRPr="00D62E01">
        <w:rPr>
          <w:sz w:val="24"/>
          <w:szCs w:val="24"/>
        </w:rPr>
        <w:t>В 2020г. предприятиями реального сектора экономики получено 494</w:t>
      </w:r>
      <w:r w:rsidR="00C97B3E">
        <w:rPr>
          <w:sz w:val="24"/>
          <w:szCs w:val="24"/>
        </w:rPr>
        <w:t>,6</w:t>
      </w:r>
      <w:r w:rsidRPr="00D62E01">
        <w:rPr>
          <w:sz w:val="24"/>
          <w:szCs w:val="24"/>
        </w:rPr>
        <w:t xml:space="preserve"> мл</w:t>
      </w:r>
      <w:r w:rsidR="00C97B3E">
        <w:rPr>
          <w:sz w:val="24"/>
          <w:szCs w:val="24"/>
        </w:rPr>
        <w:t>рд</w:t>
      </w:r>
      <w:r w:rsidRPr="00D62E01">
        <w:rPr>
          <w:sz w:val="24"/>
          <w:szCs w:val="24"/>
        </w:rPr>
        <w:t xml:space="preserve">. сомов </w:t>
      </w:r>
      <w:r w:rsidRPr="003953F3">
        <w:rPr>
          <w:sz w:val="24"/>
          <w:szCs w:val="24"/>
        </w:rPr>
        <w:t>выручки (валового дохода) от реализации продукции, товаров, работ и услуг. По сравнению с предыдущим годом объем выручки увеличился на 6,5 процента, а в сравнении с 2016г. - на 41,3 процента. Рост валового дохода в прошедшем году, в основном, обеспечен предприятиями по производству основных металлов и готовых металлических изделий (на 49</w:t>
      </w:r>
      <w:r w:rsidR="00C97B3E" w:rsidRPr="003953F3">
        <w:rPr>
          <w:sz w:val="24"/>
          <w:szCs w:val="24"/>
        </w:rPr>
        <w:t>,6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сомов), пищевой промышленности, включая напитки (на 2</w:t>
      </w:r>
      <w:r w:rsidR="00C97B3E" w:rsidRPr="003953F3">
        <w:rPr>
          <w:sz w:val="24"/>
          <w:szCs w:val="24"/>
        </w:rPr>
        <w:t>,2 млрд</w:t>
      </w:r>
      <w:r w:rsidRPr="003953F3">
        <w:rPr>
          <w:sz w:val="24"/>
          <w:szCs w:val="24"/>
        </w:rPr>
        <w:t>.), по обеспечению (снабжению) электроэнергией, газом, паром и кондиционированным воздухом (на 1</w:t>
      </w:r>
      <w:r w:rsidR="00C97B3E" w:rsidRPr="003953F3">
        <w:rPr>
          <w:sz w:val="24"/>
          <w:szCs w:val="24"/>
        </w:rPr>
        <w:t>,4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сомов).  Наряду с этим, отмечалось снижение объема выручки в организациях транспортной деятельности и хранения грузов (на 7</w:t>
      </w:r>
      <w:r w:rsidR="00C97B3E" w:rsidRPr="003953F3">
        <w:rPr>
          <w:sz w:val="24"/>
          <w:szCs w:val="24"/>
        </w:rPr>
        <w:t>,7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сомов), на предприятиях по производству нефтепродуктов (на 4</w:t>
      </w:r>
      <w:r w:rsidR="00C97B3E" w:rsidRPr="003953F3">
        <w:rPr>
          <w:sz w:val="24"/>
          <w:szCs w:val="24"/>
        </w:rPr>
        <w:t>,9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.), в сфере гостиничного и ресторанного бизнеса (на 2</w:t>
      </w:r>
      <w:r w:rsidR="00C97B3E" w:rsidRPr="003953F3">
        <w:rPr>
          <w:sz w:val="24"/>
          <w:szCs w:val="24"/>
        </w:rPr>
        <w:t>,2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="00256134">
        <w:rPr>
          <w:sz w:val="24"/>
          <w:szCs w:val="24"/>
        </w:rPr>
        <w:t>.</w:t>
      </w:r>
      <w:r w:rsidRPr="003953F3">
        <w:rPr>
          <w:sz w:val="24"/>
          <w:szCs w:val="24"/>
        </w:rPr>
        <w:t>), в отраслях строительства (на 2</w:t>
      </w:r>
      <w:r w:rsidR="00C97B3E" w:rsidRPr="003953F3">
        <w:rPr>
          <w:sz w:val="24"/>
          <w:szCs w:val="24"/>
        </w:rPr>
        <w:t>,2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рд.</w:t>
      </w:r>
      <w:r w:rsidRPr="003953F3">
        <w:rPr>
          <w:sz w:val="24"/>
          <w:szCs w:val="24"/>
        </w:rPr>
        <w:t>), на предприятиях по производству прочих неметаллических минеральных продуктов (на 1</w:t>
      </w:r>
      <w:r w:rsidR="00C97B3E" w:rsidRPr="003953F3">
        <w:rPr>
          <w:sz w:val="24"/>
          <w:szCs w:val="24"/>
        </w:rPr>
        <w:t>,7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рд.</w:t>
      </w:r>
      <w:r w:rsidRPr="003953F3">
        <w:rPr>
          <w:sz w:val="24"/>
          <w:szCs w:val="24"/>
        </w:rPr>
        <w:t>), по добыче полезных ископаемых (на 1</w:t>
      </w:r>
      <w:r w:rsidR="00C97B3E" w:rsidRPr="003953F3">
        <w:rPr>
          <w:sz w:val="24"/>
          <w:szCs w:val="24"/>
        </w:rPr>
        <w:t>,5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сомов)</w:t>
      </w:r>
      <w:r w:rsidR="00C97B3E" w:rsidRPr="003953F3">
        <w:rPr>
          <w:sz w:val="24"/>
          <w:szCs w:val="24"/>
        </w:rPr>
        <w:t xml:space="preserve">. </w:t>
      </w:r>
    </w:p>
    <w:p w:rsidR="000C6B6A" w:rsidRPr="00D62E01" w:rsidRDefault="000C6B6A" w:rsidP="000C6B6A">
      <w:pPr>
        <w:spacing w:before="120"/>
        <w:ind w:firstLine="720"/>
        <w:jc w:val="both"/>
        <w:rPr>
          <w:sz w:val="24"/>
          <w:szCs w:val="24"/>
        </w:rPr>
      </w:pPr>
      <w:r w:rsidRPr="003953F3">
        <w:rPr>
          <w:sz w:val="24"/>
          <w:szCs w:val="24"/>
        </w:rPr>
        <w:t xml:space="preserve">В 2016-2020гг. объем валового дохода от реализации продукции, работ, услуг стабильно превышал расходы на ее производство, что свидетельствует о рентабельности операционной деятельности </w:t>
      </w:r>
      <w:r w:rsidRPr="003953F3">
        <w:rPr>
          <w:bCs/>
          <w:iCs/>
          <w:sz w:val="24"/>
          <w:szCs w:val="24"/>
        </w:rPr>
        <w:t>(производство и реализация продукции, работ и услуг)</w:t>
      </w:r>
      <w:r w:rsidRPr="003953F3">
        <w:rPr>
          <w:sz w:val="24"/>
          <w:szCs w:val="24"/>
        </w:rPr>
        <w:t xml:space="preserve"> предприятий реального сектора экономики, уровень которой в 2020г. составил 16,9 процента. По итогам 2020г. в</w:t>
      </w:r>
      <w:r w:rsidRPr="003953F3">
        <w:rPr>
          <w:bCs/>
          <w:sz w:val="24"/>
          <w:szCs w:val="24"/>
        </w:rPr>
        <w:t xml:space="preserve"> результате операционной деятельности предприятиями реального сектора экономики получено 71</w:t>
      </w:r>
      <w:r w:rsidR="00C97B3E" w:rsidRPr="003953F3">
        <w:rPr>
          <w:bCs/>
          <w:sz w:val="24"/>
          <w:szCs w:val="24"/>
        </w:rPr>
        <w:t>,6</w:t>
      </w:r>
      <w:r w:rsidRPr="003953F3">
        <w:rPr>
          <w:bCs/>
          <w:sz w:val="24"/>
          <w:szCs w:val="24"/>
        </w:rPr>
        <w:t xml:space="preserve"> </w:t>
      </w:r>
      <w:r w:rsidRPr="003953F3">
        <w:rPr>
          <w:sz w:val="24"/>
          <w:szCs w:val="24"/>
        </w:rPr>
        <w:t>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 прибыли, что на 26,5 процента больше, чем в предыдущем году, и в 2 раза выше объема прибыли, полученной в 2016г.</w:t>
      </w:r>
      <w:r w:rsidRPr="00D62E01">
        <w:rPr>
          <w:sz w:val="24"/>
          <w:szCs w:val="24"/>
        </w:rPr>
        <w:t xml:space="preserve"> Наиболее высокорентабельн</w:t>
      </w:r>
      <w:r>
        <w:rPr>
          <w:sz w:val="24"/>
          <w:szCs w:val="24"/>
        </w:rPr>
        <w:t xml:space="preserve">ой </w:t>
      </w:r>
      <w:r w:rsidRPr="00D62E01">
        <w:rPr>
          <w:sz w:val="24"/>
          <w:szCs w:val="24"/>
        </w:rPr>
        <w:t xml:space="preserve">в прошедшем году </w:t>
      </w:r>
      <w:r>
        <w:rPr>
          <w:sz w:val="24"/>
          <w:szCs w:val="24"/>
        </w:rPr>
        <w:t xml:space="preserve">являлась </w:t>
      </w:r>
      <w:r w:rsidRPr="00D62E01">
        <w:rPr>
          <w:sz w:val="24"/>
          <w:szCs w:val="24"/>
        </w:rPr>
        <w:t xml:space="preserve">операционная деятельность организаций финансового посредничества, торговли и предприятий по производству фармацевтической продукции. </w:t>
      </w:r>
    </w:p>
    <w:p w:rsidR="000C6B6A" w:rsidRDefault="000C6B6A" w:rsidP="000C6B6A">
      <w:pPr>
        <w:spacing w:before="120"/>
        <w:jc w:val="both"/>
        <w:rPr>
          <w:b/>
          <w:sz w:val="24"/>
          <w:szCs w:val="24"/>
        </w:rPr>
      </w:pPr>
      <w:r w:rsidRPr="00E31BFC">
        <w:rPr>
          <w:b/>
          <w:sz w:val="24"/>
          <w:szCs w:val="24"/>
        </w:rPr>
        <w:t xml:space="preserve">График </w:t>
      </w:r>
      <w:r w:rsidRPr="003B2FC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9C3CF9">
        <w:rPr>
          <w:b/>
          <w:sz w:val="24"/>
          <w:szCs w:val="24"/>
        </w:rPr>
        <w:t>Финансовые результаты деятельности предприятий</w:t>
      </w:r>
    </w:p>
    <w:p w:rsidR="000C6B6A" w:rsidRDefault="000C6B6A" w:rsidP="000C6B6A">
      <w:pPr>
        <w:spacing w:before="60" w:after="60"/>
        <w:ind w:firstLine="709"/>
        <w:jc w:val="both"/>
        <w:rPr>
          <w:i/>
        </w:rPr>
      </w:pPr>
      <w:r>
        <w:rPr>
          <w:i/>
        </w:rPr>
        <w:t xml:space="preserve">       </w:t>
      </w:r>
      <w:r w:rsidRPr="001453F9">
        <w:rPr>
          <w:i/>
        </w:rPr>
        <w:t>(</w:t>
      </w:r>
      <w:r>
        <w:rPr>
          <w:i/>
        </w:rPr>
        <w:t>мл</w:t>
      </w:r>
      <w:r w:rsidR="000D5895">
        <w:rPr>
          <w:i/>
        </w:rPr>
        <w:t>рд</w:t>
      </w:r>
      <w:r>
        <w:rPr>
          <w:i/>
        </w:rPr>
        <w:t>. сомов</w:t>
      </w:r>
      <w:r w:rsidRPr="001453F9">
        <w:rPr>
          <w:i/>
        </w:rPr>
        <w:t>)</w:t>
      </w:r>
    </w:p>
    <w:p w:rsidR="000C6B6A" w:rsidRPr="009C3CF9" w:rsidRDefault="000D5895" w:rsidP="000C6B6A">
      <w:pPr>
        <w:spacing w:before="60" w:after="60"/>
        <w:jc w:val="both"/>
      </w:pPr>
      <w:r w:rsidRPr="000D5895">
        <w:rPr>
          <w:noProof/>
        </w:rPr>
        <w:drawing>
          <wp:inline distT="0" distB="0" distL="0" distR="0" wp14:anchorId="01C11DC0" wp14:editId="3C986762">
            <wp:extent cx="5904230" cy="31369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DB" w:rsidRDefault="001F6BDB" w:rsidP="001F6BDB">
      <w:pPr>
        <w:spacing w:before="120"/>
        <w:ind w:firstLine="709"/>
        <w:jc w:val="both"/>
        <w:rPr>
          <w:sz w:val="24"/>
          <w:szCs w:val="24"/>
        </w:rPr>
      </w:pPr>
      <w:r w:rsidRPr="00D62E01">
        <w:rPr>
          <w:sz w:val="24"/>
          <w:szCs w:val="24"/>
        </w:rPr>
        <w:t xml:space="preserve">Сальдо </w:t>
      </w:r>
      <w:r w:rsidRPr="00D62E01">
        <w:rPr>
          <w:b/>
          <w:bCs/>
          <w:i/>
          <w:iCs/>
          <w:sz w:val="24"/>
          <w:szCs w:val="24"/>
        </w:rPr>
        <w:t>неоперационных доходов и расходов</w:t>
      </w:r>
      <w:r w:rsidRPr="00D62E01">
        <w:rPr>
          <w:sz w:val="24"/>
          <w:szCs w:val="24"/>
        </w:rPr>
        <w:t xml:space="preserve"> на протяжении прошедших пяти лет, за исключением 2016г., отрицательное, что негативно влияет на финансовые результаты, уменьшая прибыль, полученную от операционной деятельности. При этом, по итогам </w:t>
      </w:r>
      <w:r>
        <w:rPr>
          <w:sz w:val="24"/>
          <w:szCs w:val="24"/>
        </w:rPr>
        <w:t>прошедшего года получен</w:t>
      </w:r>
      <w:r w:rsidRPr="00C92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наибольший объем убытков от </w:t>
      </w:r>
      <w:r w:rsidRPr="00A36689">
        <w:rPr>
          <w:sz w:val="24"/>
          <w:szCs w:val="24"/>
        </w:rPr>
        <w:t>неоперационной деятельности.</w:t>
      </w:r>
      <w:r>
        <w:rPr>
          <w:sz w:val="24"/>
          <w:szCs w:val="24"/>
        </w:rPr>
        <w:t xml:space="preserve"> Их сумма, по сравнению с 2019г., увеличилась в 7 раз и достигла 60,5 млрд. сомов.</w:t>
      </w:r>
    </w:p>
    <w:p w:rsidR="001F6BDB" w:rsidRDefault="001F6BDB" w:rsidP="001F6BDB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Основной объем убытков сформирован </w:t>
      </w:r>
      <w:r w:rsidRPr="0020026C">
        <w:rPr>
          <w:sz w:val="24"/>
          <w:szCs w:val="24"/>
        </w:rPr>
        <w:t>отрицательны</w:t>
      </w:r>
      <w:r>
        <w:rPr>
          <w:sz w:val="24"/>
          <w:szCs w:val="24"/>
        </w:rPr>
        <w:t>ми</w:t>
      </w:r>
      <w:r w:rsidRPr="0020026C">
        <w:rPr>
          <w:sz w:val="24"/>
          <w:szCs w:val="24"/>
        </w:rPr>
        <w:t xml:space="preserve"> курсовы</w:t>
      </w:r>
      <w:r>
        <w:rPr>
          <w:sz w:val="24"/>
          <w:szCs w:val="24"/>
        </w:rPr>
        <w:t>ми</w:t>
      </w:r>
      <w:r w:rsidRPr="0020026C">
        <w:rPr>
          <w:sz w:val="24"/>
          <w:szCs w:val="24"/>
        </w:rPr>
        <w:t xml:space="preserve"> разниц</w:t>
      </w:r>
      <w:r>
        <w:rPr>
          <w:sz w:val="24"/>
          <w:szCs w:val="24"/>
        </w:rPr>
        <w:t>ами</w:t>
      </w:r>
      <w:r w:rsidRPr="0020026C">
        <w:rPr>
          <w:sz w:val="24"/>
          <w:szCs w:val="24"/>
        </w:rPr>
        <w:t xml:space="preserve"> по операциям </w:t>
      </w:r>
      <w:r>
        <w:rPr>
          <w:sz w:val="24"/>
          <w:szCs w:val="24"/>
        </w:rPr>
        <w:t>в</w:t>
      </w:r>
      <w:r w:rsidRPr="0020026C">
        <w:rPr>
          <w:sz w:val="24"/>
          <w:szCs w:val="24"/>
        </w:rPr>
        <w:t xml:space="preserve"> иностранной валют</w:t>
      </w:r>
      <w:r>
        <w:rPr>
          <w:sz w:val="24"/>
          <w:szCs w:val="24"/>
        </w:rPr>
        <w:t xml:space="preserve">е </w:t>
      </w:r>
      <w:r w:rsidRPr="0020026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расходами по </w:t>
      </w:r>
      <w:r w:rsidRPr="0020026C">
        <w:rPr>
          <w:sz w:val="24"/>
          <w:szCs w:val="24"/>
        </w:rPr>
        <w:t>процент</w:t>
      </w:r>
      <w:r>
        <w:rPr>
          <w:sz w:val="24"/>
          <w:szCs w:val="24"/>
        </w:rPr>
        <w:t>ам</w:t>
      </w:r>
      <w:r w:rsidRPr="0020026C">
        <w:rPr>
          <w:sz w:val="24"/>
          <w:szCs w:val="24"/>
        </w:rPr>
        <w:t xml:space="preserve"> к уплате. </w:t>
      </w:r>
      <w:r w:rsidRPr="00FA30D2">
        <w:rPr>
          <w:sz w:val="24"/>
          <w:szCs w:val="24"/>
        </w:rPr>
        <w:t xml:space="preserve">В отраслевом разрезе </w:t>
      </w:r>
      <w:r>
        <w:rPr>
          <w:sz w:val="24"/>
          <w:szCs w:val="24"/>
        </w:rPr>
        <w:t>значительные убытки от неоперационной деятельности в 2020г. получены предприятиями по производству (выработке) электроэнергии, ее передаче и распределению (14,3 млрд. сомов), нефтепродуктов (10,1 млрд.), добыче полезных ископаемых (9,9 млрд.), организациями профессиональной, научной и технической деятельности (7,6 млрд.), а также торговли (6,7 млрд. сомов).</w:t>
      </w:r>
    </w:p>
    <w:p w:rsidR="000C6B6A" w:rsidRPr="00C73DA6" w:rsidRDefault="001F6BDB" w:rsidP="000C6B6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значительный </w:t>
      </w:r>
      <w:r w:rsidRPr="00FA30D2">
        <w:rPr>
          <w:sz w:val="24"/>
          <w:szCs w:val="24"/>
        </w:rPr>
        <w:t>объем прибыли от операционной деятельности</w:t>
      </w:r>
      <w:r>
        <w:rPr>
          <w:sz w:val="24"/>
          <w:szCs w:val="24"/>
        </w:rPr>
        <w:t xml:space="preserve">, полученной предприятиями реального сектора, их </w:t>
      </w:r>
      <w:r w:rsidRPr="00FA30D2">
        <w:rPr>
          <w:sz w:val="24"/>
          <w:szCs w:val="24"/>
        </w:rPr>
        <w:t>неоперационн</w:t>
      </w:r>
      <w:r>
        <w:rPr>
          <w:sz w:val="24"/>
          <w:szCs w:val="24"/>
        </w:rPr>
        <w:t>ые</w:t>
      </w:r>
      <w:r w:rsidRPr="00FA30D2">
        <w:rPr>
          <w:sz w:val="24"/>
          <w:szCs w:val="24"/>
        </w:rPr>
        <w:t xml:space="preserve"> убытк</w:t>
      </w:r>
      <w:r>
        <w:rPr>
          <w:sz w:val="24"/>
          <w:szCs w:val="24"/>
        </w:rPr>
        <w:t>и</w:t>
      </w:r>
      <w:r w:rsidRPr="00FA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существенно </w:t>
      </w:r>
      <w:r w:rsidRPr="00FA30D2">
        <w:rPr>
          <w:sz w:val="24"/>
          <w:szCs w:val="24"/>
        </w:rPr>
        <w:t xml:space="preserve">повлияли </w:t>
      </w:r>
      <w:r>
        <w:rPr>
          <w:sz w:val="24"/>
          <w:szCs w:val="24"/>
        </w:rPr>
        <w:t>на формирование</w:t>
      </w:r>
      <w:r w:rsidRPr="00FA30D2">
        <w:rPr>
          <w:b/>
          <w:bCs/>
          <w:i/>
          <w:iCs/>
          <w:sz w:val="24"/>
          <w:szCs w:val="24"/>
        </w:rPr>
        <w:t xml:space="preserve"> сальдированн</w:t>
      </w:r>
      <w:r>
        <w:rPr>
          <w:b/>
          <w:bCs/>
          <w:i/>
          <w:iCs/>
          <w:sz w:val="24"/>
          <w:szCs w:val="24"/>
        </w:rPr>
        <w:t>ого</w:t>
      </w:r>
      <w:r w:rsidRPr="00FA30D2">
        <w:rPr>
          <w:b/>
          <w:bCs/>
          <w:i/>
          <w:iCs/>
          <w:sz w:val="24"/>
          <w:szCs w:val="24"/>
        </w:rPr>
        <w:t xml:space="preserve"> финансов</w:t>
      </w:r>
      <w:r>
        <w:rPr>
          <w:b/>
          <w:bCs/>
          <w:i/>
          <w:iCs/>
          <w:sz w:val="24"/>
          <w:szCs w:val="24"/>
        </w:rPr>
        <w:t>ого</w:t>
      </w:r>
      <w:r w:rsidRPr="00FA30D2">
        <w:rPr>
          <w:b/>
          <w:bCs/>
          <w:i/>
          <w:iCs/>
          <w:sz w:val="24"/>
          <w:szCs w:val="24"/>
        </w:rPr>
        <w:t xml:space="preserve"> результат</w:t>
      </w:r>
      <w:r>
        <w:rPr>
          <w:b/>
          <w:bCs/>
          <w:i/>
          <w:iCs/>
          <w:sz w:val="24"/>
          <w:szCs w:val="24"/>
        </w:rPr>
        <w:t>а</w:t>
      </w:r>
      <w:r w:rsidRPr="00FA30D2">
        <w:rPr>
          <w:sz w:val="24"/>
          <w:szCs w:val="24"/>
        </w:rPr>
        <w:t>, объем которого в 20</w:t>
      </w:r>
      <w:r>
        <w:rPr>
          <w:sz w:val="24"/>
          <w:szCs w:val="24"/>
        </w:rPr>
        <w:t>20</w:t>
      </w:r>
      <w:r w:rsidRPr="00FA30D2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 xml:space="preserve">10,6 млрд. сомов прибыли, уменьшившись по сравнению с предыдущим </w:t>
      </w:r>
      <w:r w:rsidRPr="00003EC9">
        <w:rPr>
          <w:sz w:val="24"/>
          <w:szCs w:val="24"/>
        </w:rPr>
        <w:t>годом в 4,5 раза (на 37</w:t>
      </w:r>
      <w:r>
        <w:rPr>
          <w:sz w:val="24"/>
          <w:szCs w:val="24"/>
        </w:rPr>
        <w:t>,1</w:t>
      </w:r>
      <w:r w:rsidRPr="00003EC9">
        <w:rPr>
          <w:sz w:val="24"/>
          <w:szCs w:val="24"/>
        </w:rPr>
        <w:t xml:space="preserve"> </w:t>
      </w:r>
      <w:r>
        <w:rPr>
          <w:sz w:val="24"/>
          <w:szCs w:val="24"/>
        </w:rPr>
        <w:t>млрд</w:t>
      </w:r>
      <w:r w:rsidRPr="00003EC9">
        <w:rPr>
          <w:sz w:val="24"/>
          <w:szCs w:val="24"/>
        </w:rPr>
        <w:t>. сомов).</w:t>
      </w:r>
      <w:r w:rsidR="00BE2710">
        <w:rPr>
          <w:sz w:val="24"/>
          <w:szCs w:val="24"/>
        </w:rPr>
        <w:t xml:space="preserve"> </w:t>
      </w:r>
      <w:r w:rsidR="000C6B6A">
        <w:rPr>
          <w:sz w:val="24"/>
          <w:szCs w:val="24"/>
        </w:rPr>
        <w:t xml:space="preserve">По сравнению с 2019г. возросли убытки </w:t>
      </w:r>
      <w:r w:rsidR="000C6B6A" w:rsidRPr="00003EC9">
        <w:rPr>
          <w:sz w:val="24"/>
          <w:szCs w:val="24"/>
        </w:rPr>
        <w:t xml:space="preserve">предприятий по производству (выработке) электроэнергии, ее передаче и распределению, </w:t>
      </w:r>
      <w:r w:rsidR="000C6B6A">
        <w:rPr>
          <w:sz w:val="24"/>
          <w:szCs w:val="24"/>
        </w:rPr>
        <w:t xml:space="preserve">по </w:t>
      </w:r>
      <w:r w:rsidR="000C6B6A" w:rsidRPr="00003EC9">
        <w:rPr>
          <w:sz w:val="24"/>
          <w:szCs w:val="24"/>
        </w:rPr>
        <w:t xml:space="preserve">добыче полезных ископаемых, производству нефтепродуктов, </w:t>
      </w:r>
      <w:r w:rsidR="000C6B6A">
        <w:rPr>
          <w:sz w:val="24"/>
          <w:szCs w:val="24"/>
        </w:rPr>
        <w:t xml:space="preserve">гостиниц и ресторанов, </w:t>
      </w:r>
      <w:r w:rsidR="000C6B6A" w:rsidRPr="00003EC9">
        <w:rPr>
          <w:sz w:val="24"/>
          <w:szCs w:val="24"/>
        </w:rPr>
        <w:t xml:space="preserve">а также организаций, осуществляющих профессиональную, научную и техническую деятельность </w:t>
      </w:r>
      <w:r w:rsidR="000C6B6A" w:rsidRPr="00C73DA6">
        <w:rPr>
          <w:sz w:val="24"/>
          <w:szCs w:val="24"/>
        </w:rPr>
        <w:t xml:space="preserve">(включая геологоразведку). Наблюдалось снижение объема прибыли в организациях торговли, строительства, связи, транспортной деятельности и хранения грузов.  </w:t>
      </w:r>
    </w:p>
    <w:p w:rsidR="000C6B6A" w:rsidRPr="0020026C" w:rsidRDefault="000C6B6A" w:rsidP="000C6B6A">
      <w:pPr>
        <w:ind w:firstLine="709"/>
        <w:jc w:val="both"/>
        <w:rPr>
          <w:sz w:val="24"/>
          <w:szCs w:val="24"/>
        </w:rPr>
      </w:pPr>
      <w:r w:rsidRPr="0078544C">
        <w:rPr>
          <w:sz w:val="24"/>
          <w:szCs w:val="24"/>
        </w:rPr>
        <w:t xml:space="preserve">Основной объем </w:t>
      </w:r>
      <w:r>
        <w:rPr>
          <w:sz w:val="24"/>
          <w:szCs w:val="24"/>
        </w:rPr>
        <w:t xml:space="preserve">сальдированной </w:t>
      </w:r>
      <w:r w:rsidRPr="0078544C">
        <w:rPr>
          <w:sz w:val="24"/>
          <w:szCs w:val="24"/>
        </w:rPr>
        <w:t>прибыли</w:t>
      </w:r>
      <w:r>
        <w:rPr>
          <w:sz w:val="24"/>
          <w:szCs w:val="24"/>
        </w:rPr>
        <w:t xml:space="preserve"> в 2020г. </w:t>
      </w:r>
      <w:r w:rsidRPr="0078544C">
        <w:rPr>
          <w:sz w:val="24"/>
          <w:szCs w:val="24"/>
        </w:rPr>
        <w:t>получен предприятиями по производству</w:t>
      </w:r>
      <w:r w:rsidRPr="00A02CDF">
        <w:rPr>
          <w:sz w:val="24"/>
          <w:szCs w:val="24"/>
        </w:rPr>
        <w:t xml:space="preserve"> основных</w:t>
      </w:r>
      <w:r w:rsidRPr="0020026C">
        <w:rPr>
          <w:sz w:val="24"/>
          <w:szCs w:val="24"/>
        </w:rPr>
        <w:t xml:space="preserve"> металлов и готовых металлических изделий </w:t>
      </w:r>
      <w:r>
        <w:rPr>
          <w:sz w:val="24"/>
          <w:szCs w:val="24"/>
        </w:rPr>
        <w:t>(36</w:t>
      </w:r>
      <w:r w:rsidR="00C97B3E">
        <w:rPr>
          <w:sz w:val="24"/>
          <w:szCs w:val="24"/>
        </w:rPr>
        <w:t>,5</w:t>
      </w:r>
      <w:r w:rsidRPr="0020026C">
        <w:rPr>
          <w:sz w:val="24"/>
          <w:szCs w:val="24"/>
        </w:rPr>
        <w:t xml:space="preserve"> мл</w:t>
      </w:r>
      <w:r w:rsidR="00C97B3E">
        <w:rPr>
          <w:sz w:val="24"/>
          <w:szCs w:val="24"/>
        </w:rPr>
        <w:t>рд</w:t>
      </w:r>
      <w:r w:rsidRPr="0020026C">
        <w:rPr>
          <w:sz w:val="24"/>
          <w:szCs w:val="24"/>
        </w:rPr>
        <w:t>. сомов</w:t>
      </w:r>
      <w:r>
        <w:rPr>
          <w:sz w:val="24"/>
          <w:szCs w:val="24"/>
        </w:rPr>
        <w:t xml:space="preserve">) и </w:t>
      </w:r>
      <w:r w:rsidRPr="0020026C">
        <w:rPr>
          <w:sz w:val="24"/>
          <w:szCs w:val="24"/>
        </w:rPr>
        <w:t xml:space="preserve">организациями торговли </w:t>
      </w:r>
      <w:r>
        <w:rPr>
          <w:sz w:val="24"/>
          <w:szCs w:val="24"/>
        </w:rPr>
        <w:t>(6</w:t>
      </w:r>
      <w:r w:rsidR="00C97B3E">
        <w:rPr>
          <w:sz w:val="24"/>
          <w:szCs w:val="24"/>
        </w:rPr>
        <w:t>,9</w:t>
      </w:r>
      <w:r w:rsidRPr="0020026C">
        <w:rPr>
          <w:sz w:val="24"/>
          <w:szCs w:val="24"/>
        </w:rPr>
        <w:t xml:space="preserve"> мл</w:t>
      </w:r>
      <w:r w:rsidR="00C97B3E">
        <w:rPr>
          <w:sz w:val="24"/>
          <w:szCs w:val="24"/>
        </w:rPr>
        <w:t>рд</w:t>
      </w:r>
      <w:r w:rsidRPr="0020026C">
        <w:rPr>
          <w:sz w:val="24"/>
          <w:szCs w:val="24"/>
        </w:rPr>
        <w:t>.</w:t>
      </w:r>
      <w:r>
        <w:rPr>
          <w:sz w:val="24"/>
          <w:szCs w:val="24"/>
        </w:rPr>
        <w:t xml:space="preserve"> сомов).</w:t>
      </w:r>
    </w:p>
    <w:p w:rsidR="000C6B6A" w:rsidRDefault="000C6B6A" w:rsidP="000C6B6A">
      <w:pPr>
        <w:spacing w:before="120"/>
        <w:ind w:firstLine="709"/>
        <w:jc w:val="both"/>
        <w:rPr>
          <w:sz w:val="24"/>
          <w:szCs w:val="24"/>
          <w:shd w:val="clear" w:color="auto" w:fill="FFFFFF"/>
        </w:rPr>
      </w:pPr>
      <w:r w:rsidRPr="003953F3">
        <w:rPr>
          <w:sz w:val="24"/>
          <w:szCs w:val="24"/>
        </w:rPr>
        <w:t>В 2020г. предприятиями реального сектора экономики достигнут наименьший за последние пять лет уровень рентабельности продаж</w:t>
      </w:r>
      <w:r w:rsidRPr="003953F3">
        <w:rPr>
          <w:color w:val="000000"/>
          <w:sz w:val="24"/>
          <w:szCs w:val="24"/>
          <w:shd w:val="clear" w:color="auto" w:fill="FFFFFF"/>
        </w:rPr>
        <w:t xml:space="preserve"> </w:t>
      </w:r>
      <w:r w:rsidRPr="003953F3">
        <w:rPr>
          <w:sz w:val="24"/>
          <w:szCs w:val="24"/>
        </w:rPr>
        <w:t>в размере 2,1 процента, что на 8,2 процентных пункта ниже его значения за 2019г.</w:t>
      </w:r>
      <w:r w:rsidRPr="003953F3">
        <w:rPr>
          <w:bCs/>
          <w:sz w:val="24"/>
        </w:rPr>
        <w:t xml:space="preserve"> Учитывая, что рентабельность продаж</w:t>
      </w:r>
      <w:r w:rsidRPr="003953F3">
        <w:rPr>
          <w:sz w:val="24"/>
        </w:rPr>
        <w:t xml:space="preserve"> показывает, какая часть прибыли находится в выручке организации</w:t>
      </w:r>
      <w:r w:rsidRPr="003953F3">
        <w:rPr>
          <w:color w:val="000000"/>
          <w:sz w:val="24"/>
          <w:szCs w:val="24"/>
          <w:shd w:val="clear" w:color="auto" w:fill="FFFFFF"/>
        </w:rPr>
        <w:t>, предприятиями реального сектора экономики республики в среднем получено 0,02 сома (2 тыйына)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6036C">
        <w:rPr>
          <w:color w:val="000000"/>
          <w:sz w:val="24"/>
          <w:szCs w:val="24"/>
          <w:shd w:val="clear" w:color="auto" w:fill="FFFFFF"/>
        </w:rPr>
        <w:t xml:space="preserve">прибыли с 1 </w:t>
      </w:r>
      <w:r w:rsidRPr="0096036C">
        <w:rPr>
          <w:sz w:val="24"/>
          <w:szCs w:val="24"/>
          <w:shd w:val="clear" w:color="auto" w:fill="FFFFFF"/>
        </w:rPr>
        <w:t>сома полученно</w:t>
      </w:r>
      <w:r>
        <w:rPr>
          <w:sz w:val="24"/>
          <w:szCs w:val="24"/>
          <w:shd w:val="clear" w:color="auto" w:fill="FFFFFF"/>
        </w:rPr>
        <w:t xml:space="preserve">го </w:t>
      </w:r>
      <w:r w:rsidRPr="0096036C">
        <w:rPr>
          <w:sz w:val="24"/>
          <w:szCs w:val="24"/>
          <w:shd w:val="clear" w:color="auto" w:fill="FFFFFF"/>
        </w:rPr>
        <w:t>валового дохода.</w:t>
      </w:r>
      <w:r>
        <w:rPr>
          <w:sz w:val="24"/>
          <w:szCs w:val="24"/>
          <w:shd w:val="clear" w:color="auto" w:fill="FFFFFF"/>
        </w:rPr>
        <w:t xml:space="preserve"> </w:t>
      </w:r>
    </w:p>
    <w:p w:rsidR="000C6B6A" w:rsidRDefault="000C6B6A" w:rsidP="000C6B6A">
      <w:pPr>
        <w:spacing w:before="120"/>
        <w:jc w:val="both"/>
        <w:rPr>
          <w:b/>
          <w:sz w:val="24"/>
          <w:szCs w:val="24"/>
        </w:rPr>
      </w:pPr>
      <w:r w:rsidRPr="00E31BFC">
        <w:rPr>
          <w:b/>
          <w:sz w:val="24"/>
          <w:szCs w:val="24"/>
        </w:rPr>
        <w:t xml:space="preserve">График </w:t>
      </w:r>
      <w:r w:rsidRPr="003B2F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Рентабельность </w:t>
      </w:r>
      <w:r w:rsidRPr="009C3CF9">
        <w:rPr>
          <w:b/>
          <w:sz w:val="24"/>
          <w:szCs w:val="24"/>
        </w:rPr>
        <w:t>предприятий</w:t>
      </w:r>
      <w:r>
        <w:rPr>
          <w:b/>
          <w:sz w:val="24"/>
          <w:szCs w:val="24"/>
        </w:rPr>
        <w:t xml:space="preserve"> реального сектора экономики</w:t>
      </w:r>
    </w:p>
    <w:p w:rsidR="000C6B6A" w:rsidRDefault="000C6B6A" w:rsidP="000C6B6A">
      <w:pPr>
        <w:spacing w:before="60" w:after="60"/>
        <w:ind w:firstLine="709"/>
        <w:jc w:val="both"/>
        <w:rPr>
          <w:i/>
        </w:rPr>
      </w:pPr>
      <w:r>
        <w:rPr>
          <w:i/>
        </w:rPr>
        <w:t xml:space="preserve">       </w:t>
      </w:r>
      <w:r w:rsidRPr="001453F9">
        <w:rPr>
          <w:i/>
        </w:rPr>
        <w:t>(</w:t>
      </w:r>
      <w:r>
        <w:rPr>
          <w:i/>
        </w:rPr>
        <w:t>процентов</w:t>
      </w:r>
      <w:r w:rsidRPr="001453F9">
        <w:rPr>
          <w:i/>
        </w:rPr>
        <w:t>)</w:t>
      </w:r>
    </w:p>
    <w:p w:rsidR="000C6B6A" w:rsidRPr="001168A1" w:rsidRDefault="000C6B6A" w:rsidP="000C6B6A">
      <w:pPr>
        <w:spacing w:before="60" w:after="60"/>
        <w:jc w:val="both"/>
      </w:pPr>
      <w:r w:rsidRPr="000332CF">
        <w:rPr>
          <w:noProof/>
        </w:rPr>
        <w:drawing>
          <wp:inline distT="0" distB="0" distL="0" distR="0">
            <wp:extent cx="5605780" cy="2981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6A" w:rsidRDefault="000C6B6A" w:rsidP="000C6B6A">
      <w:pPr>
        <w:pStyle w:val="a8"/>
        <w:spacing w:before="0" w:beforeAutospacing="0" w:after="0" w:afterAutospacing="0"/>
        <w:ind w:firstLine="709"/>
        <w:jc w:val="both"/>
        <w:rPr>
          <w:lang w:val="ru-RU"/>
        </w:rPr>
      </w:pPr>
      <w:r w:rsidRPr="00365519">
        <w:rPr>
          <w:lang w:val="ru-RU"/>
        </w:rPr>
        <w:t>Высокий уровень рентабельности продаж (от 20 до 30 процентов) в 2020</w:t>
      </w:r>
      <w:r>
        <w:rPr>
          <w:lang w:val="ru-RU"/>
        </w:rPr>
        <w:t>г.</w:t>
      </w:r>
      <w:r w:rsidRPr="00365519">
        <w:rPr>
          <w:lang w:val="ru-RU"/>
        </w:rPr>
        <w:t xml:space="preserve"> был достигнут предприятиями по производству компьютеров, электронного и оптического оборудования, организациями финансового посредничества, а также предприятиями по производству фармацевтической продукции. </w:t>
      </w:r>
    </w:p>
    <w:p w:rsidR="000C6B6A" w:rsidRPr="00365519" w:rsidRDefault="000C6B6A" w:rsidP="000C6B6A">
      <w:pPr>
        <w:pStyle w:val="a8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Наряду с этим, значительный уровень убыточности </w:t>
      </w:r>
      <w:r w:rsidRPr="00365519">
        <w:rPr>
          <w:lang w:val="ru-RU"/>
        </w:rPr>
        <w:t>зафиксирован на предприятиях гостиничного и ресторанного бизнеса (-</w:t>
      </w:r>
      <w:r>
        <w:rPr>
          <w:lang w:val="ru-RU"/>
        </w:rPr>
        <w:t>8</w:t>
      </w:r>
      <w:r w:rsidRPr="00365519">
        <w:rPr>
          <w:lang w:val="ru-RU"/>
        </w:rPr>
        <w:t>8,9</w:t>
      </w:r>
      <w:r>
        <w:rPr>
          <w:lang w:val="ru-RU"/>
        </w:rPr>
        <w:t xml:space="preserve"> процента)</w:t>
      </w:r>
      <w:r w:rsidRPr="00365519">
        <w:rPr>
          <w:lang w:val="ru-RU"/>
        </w:rPr>
        <w:t xml:space="preserve">, а также в организациях искусства, </w:t>
      </w:r>
      <w:r w:rsidRPr="00365519">
        <w:rPr>
          <w:lang w:val="ru-RU"/>
        </w:rPr>
        <w:lastRenderedPageBreak/>
        <w:t>развлечений и отдыха (-44,3</w:t>
      </w:r>
      <w:r>
        <w:rPr>
          <w:lang w:val="ru-RU"/>
        </w:rPr>
        <w:t xml:space="preserve"> процента),</w:t>
      </w:r>
      <w:r w:rsidRPr="00365519">
        <w:rPr>
          <w:lang w:val="ru-RU"/>
        </w:rPr>
        <w:t xml:space="preserve"> которые в 2020 году были вынуждены приостановить или ограничить свою деятельность в </w:t>
      </w:r>
      <w:r>
        <w:rPr>
          <w:lang w:val="ru-RU"/>
        </w:rPr>
        <w:t>связи с</w:t>
      </w:r>
      <w:r w:rsidRPr="00365519">
        <w:rPr>
          <w:lang w:val="ru-RU"/>
        </w:rPr>
        <w:t xml:space="preserve"> </w:t>
      </w:r>
      <w:r>
        <w:rPr>
          <w:lang w:val="ru-RU"/>
        </w:rPr>
        <w:t xml:space="preserve">эпидемией </w:t>
      </w:r>
      <w:r>
        <w:t>COVID</w:t>
      </w:r>
      <w:r w:rsidRPr="009B70D1">
        <w:rPr>
          <w:lang w:val="ru-RU"/>
        </w:rPr>
        <w:t>-19</w:t>
      </w:r>
      <w:r>
        <w:rPr>
          <w:lang w:val="ru-RU"/>
        </w:rPr>
        <w:t xml:space="preserve">. </w:t>
      </w:r>
    </w:p>
    <w:p w:rsidR="000C6B6A" w:rsidRPr="003953F3" w:rsidRDefault="000C6B6A" w:rsidP="000C6B6A">
      <w:pPr>
        <w:pStyle w:val="a3"/>
        <w:spacing w:before="160"/>
        <w:ind w:right="0"/>
        <w:rPr>
          <w:szCs w:val="24"/>
        </w:rPr>
      </w:pPr>
      <w:r w:rsidRPr="003953F3">
        <w:t>На конец 2</w:t>
      </w:r>
      <w:r w:rsidRPr="003953F3">
        <w:rPr>
          <w:lang w:val="ru-RU"/>
        </w:rPr>
        <w:t>020</w:t>
      </w:r>
      <w:r w:rsidRPr="003953F3">
        <w:t xml:space="preserve">г. на складах предприятий накопилось </w:t>
      </w:r>
      <w:r w:rsidRPr="003953F3">
        <w:rPr>
          <w:bCs/>
          <w:iCs/>
        </w:rPr>
        <w:t>запасов товарно-материальных ценностей</w:t>
      </w:r>
      <w:r w:rsidRPr="003953F3">
        <w:t xml:space="preserve"> на сумму </w:t>
      </w:r>
      <w:r w:rsidRPr="003953F3">
        <w:rPr>
          <w:lang w:val="ru-RU"/>
        </w:rPr>
        <w:t>216</w:t>
      </w:r>
      <w:r w:rsidR="00C97B3E" w:rsidRPr="003953F3">
        <w:rPr>
          <w:lang w:val="ru-RU"/>
        </w:rPr>
        <w:t>,3</w:t>
      </w:r>
      <w:r w:rsidRPr="003953F3">
        <w:t xml:space="preserve"> мл</w:t>
      </w:r>
      <w:r w:rsidR="00C97B3E" w:rsidRPr="003953F3">
        <w:rPr>
          <w:lang w:val="ru-RU"/>
        </w:rPr>
        <w:t>рд</w:t>
      </w:r>
      <w:r w:rsidRPr="003953F3">
        <w:t xml:space="preserve">. сомов. За год их объем увеличился на  </w:t>
      </w:r>
      <w:r w:rsidRPr="003953F3">
        <w:rPr>
          <w:lang w:val="ru-RU"/>
        </w:rPr>
        <w:t>3</w:t>
      </w:r>
      <w:r w:rsidRPr="003953F3">
        <w:t xml:space="preserve"> процента, или  на </w:t>
      </w:r>
      <w:r w:rsidRPr="003953F3">
        <w:rPr>
          <w:lang w:val="ru-RU"/>
        </w:rPr>
        <w:t>6</w:t>
      </w:r>
      <w:r w:rsidR="00C97B3E" w:rsidRPr="003953F3">
        <w:rPr>
          <w:lang w:val="ru-RU"/>
        </w:rPr>
        <w:t>,3</w:t>
      </w:r>
      <w:r w:rsidRPr="003953F3">
        <w:t xml:space="preserve"> мл</w:t>
      </w:r>
      <w:r w:rsidR="00C97B3E" w:rsidRPr="003953F3">
        <w:rPr>
          <w:lang w:val="ru-RU"/>
        </w:rPr>
        <w:t>рд</w:t>
      </w:r>
      <w:r w:rsidRPr="003953F3">
        <w:t xml:space="preserve">. сомов. </w:t>
      </w:r>
      <w:r w:rsidRPr="003953F3">
        <w:rPr>
          <w:szCs w:val="24"/>
        </w:rPr>
        <w:t xml:space="preserve">Прирост остатков наблюдался по всем видам запасов, </w:t>
      </w:r>
      <w:r w:rsidRPr="003953F3">
        <w:rPr>
          <w:szCs w:val="24"/>
          <w:lang w:val="ru-RU"/>
        </w:rPr>
        <w:t>за исключением остатков незавершенного производства.</w:t>
      </w:r>
      <w:r w:rsidRPr="003953F3">
        <w:rPr>
          <w:szCs w:val="24"/>
        </w:rPr>
        <w:t xml:space="preserve"> </w:t>
      </w:r>
    </w:p>
    <w:p w:rsidR="000C6B6A" w:rsidRPr="003953F3" w:rsidRDefault="000C6B6A" w:rsidP="000C6B6A">
      <w:pPr>
        <w:ind w:firstLine="709"/>
        <w:jc w:val="both"/>
        <w:rPr>
          <w:sz w:val="24"/>
          <w:szCs w:val="24"/>
        </w:rPr>
      </w:pPr>
      <w:r w:rsidRPr="003953F3">
        <w:rPr>
          <w:sz w:val="24"/>
          <w:szCs w:val="24"/>
        </w:rPr>
        <w:t xml:space="preserve">В 2020г. отмечалось незначительное замедление оборачиваемости товарно-материальных запасов. Оборачиваемость запасов в прошедшем году составила 2,7 раза в год, а средняя продолжительность хранения запасов - 136 дней. </w:t>
      </w:r>
    </w:p>
    <w:p w:rsidR="000C6B6A" w:rsidRPr="003953F3" w:rsidRDefault="000C6B6A" w:rsidP="00D711D0">
      <w:pPr>
        <w:spacing w:before="120"/>
        <w:ind w:firstLine="709"/>
        <w:jc w:val="both"/>
        <w:rPr>
          <w:sz w:val="24"/>
          <w:szCs w:val="24"/>
        </w:rPr>
      </w:pPr>
      <w:r w:rsidRPr="003953F3">
        <w:rPr>
          <w:bCs/>
          <w:iCs/>
          <w:sz w:val="24"/>
          <w:szCs w:val="24"/>
        </w:rPr>
        <w:t xml:space="preserve">Дебиторская задолженность </w:t>
      </w:r>
      <w:r w:rsidRPr="003953F3">
        <w:rPr>
          <w:sz w:val="24"/>
          <w:szCs w:val="24"/>
        </w:rPr>
        <w:t>предприятий реального сектора экономики республики на конец 2020г. составила 17</w:t>
      </w:r>
      <w:r w:rsidR="00C97B3E" w:rsidRPr="003953F3">
        <w:rPr>
          <w:sz w:val="24"/>
          <w:szCs w:val="24"/>
        </w:rPr>
        <w:t>4,0</w:t>
      </w:r>
      <w:r w:rsidRPr="003953F3">
        <w:rPr>
          <w:sz w:val="24"/>
          <w:szCs w:val="24"/>
        </w:rPr>
        <w:t xml:space="preserve"> мл</w:t>
      </w:r>
      <w:r w:rsidR="00C97B3E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сомов, увеличившись по сравнению с объемом соответствующего периода 2019г., на 11,3 процента, а по сравнению с 2016г. - на 33,9 процента</w:t>
      </w:r>
      <w:r w:rsidR="00D711D0" w:rsidRPr="003953F3">
        <w:rPr>
          <w:sz w:val="24"/>
          <w:szCs w:val="24"/>
        </w:rPr>
        <w:t>.</w:t>
      </w:r>
      <w:r w:rsidRPr="003953F3">
        <w:rPr>
          <w:sz w:val="24"/>
          <w:szCs w:val="24"/>
        </w:rPr>
        <w:t xml:space="preserve"> В общем объеме дебиторской задолженности на конец 2020г. наибольшая доля приходилась на долги предприятиям оптовой и розничной торговли, по ремонту автомобилей и мотоциклов (32,0 процента), обрабатывающих производств (16,4 процента) и строительства (14,9 процента).</w:t>
      </w:r>
    </w:p>
    <w:p w:rsidR="00D711D0" w:rsidRPr="003953F3" w:rsidRDefault="000C6B6A" w:rsidP="00D711D0">
      <w:pPr>
        <w:ind w:firstLine="709"/>
        <w:jc w:val="both"/>
        <w:rPr>
          <w:sz w:val="24"/>
          <w:szCs w:val="24"/>
        </w:rPr>
      </w:pPr>
      <w:r w:rsidRPr="003953F3">
        <w:rPr>
          <w:sz w:val="24"/>
          <w:szCs w:val="24"/>
        </w:rPr>
        <w:t xml:space="preserve">По состоянию на конец 2020г. предприятиями реального сектора экономики республики просрочена выплата долгов по дебиторской задолженности </w:t>
      </w:r>
      <w:r w:rsidRPr="003953F3">
        <w:rPr>
          <w:bCs/>
          <w:iCs/>
          <w:sz w:val="24"/>
          <w:szCs w:val="24"/>
        </w:rPr>
        <w:t>на сумму 7</w:t>
      </w:r>
      <w:r w:rsidR="00D711D0" w:rsidRPr="003953F3">
        <w:rPr>
          <w:bCs/>
          <w:iCs/>
          <w:sz w:val="24"/>
          <w:szCs w:val="24"/>
        </w:rPr>
        <w:t>,4</w:t>
      </w:r>
      <w:r w:rsidRPr="003953F3">
        <w:rPr>
          <w:bCs/>
          <w:iCs/>
          <w:sz w:val="24"/>
          <w:szCs w:val="24"/>
        </w:rPr>
        <w:t xml:space="preserve"> мл</w:t>
      </w:r>
      <w:r w:rsidR="00D711D0" w:rsidRPr="003953F3">
        <w:rPr>
          <w:bCs/>
          <w:iCs/>
          <w:sz w:val="24"/>
          <w:szCs w:val="24"/>
        </w:rPr>
        <w:t>рд</w:t>
      </w:r>
      <w:r w:rsidRPr="003953F3">
        <w:rPr>
          <w:bCs/>
          <w:iCs/>
          <w:sz w:val="24"/>
          <w:szCs w:val="24"/>
        </w:rPr>
        <w:t>. сомов</w:t>
      </w:r>
      <w:r w:rsidR="00D711D0" w:rsidRPr="003953F3">
        <w:rPr>
          <w:bCs/>
          <w:iCs/>
          <w:sz w:val="24"/>
          <w:szCs w:val="24"/>
        </w:rPr>
        <w:t xml:space="preserve">, </w:t>
      </w:r>
      <w:r w:rsidRPr="003953F3">
        <w:rPr>
          <w:bCs/>
          <w:iCs/>
          <w:sz w:val="24"/>
          <w:szCs w:val="24"/>
        </w:rPr>
        <w:t xml:space="preserve">или 4,2 процента </w:t>
      </w:r>
      <w:r w:rsidRPr="003953F3">
        <w:rPr>
          <w:sz w:val="24"/>
          <w:szCs w:val="24"/>
        </w:rPr>
        <w:t>от общего ее объема</w:t>
      </w:r>
      <w:r w:rsidR="00D711D0" w:rsidRPr="003953F3">
        <w:rPr>
          <w:sz w:val="24"/>
          <w:szCs w:val="24"/>
        </w:rPr>
        <w:t xml:space="preserve">. </w:t>
      </w:r>
    </w:p>
    <w:p w:rsidR="000C6B6A" w:rsidRPr="003953F3" w:rsidRDefault="000C6B6A" w:rsidP="00D711D0">
      <w:pPr>
        <w:spacing w:before="120"/>
        <w:ind w:firstLine="709"/>
        <w:jc w:val="both"/>
        <w:rPr>
          <w:sz w:val="24"/>
          <w:szCs w:val="24"/>
        </w:rPr>
      </w:pPr>
      <w:r w:rsidRPr="003953F3">
        <w:rPr>
          <w:bCs/>
          <w:iCs/>
          <w:sz w:val="24"/>
          <w:szCs w:val="24"/>
        </w:rPr>
        <w:t xml:space="preserve">Кредиторская задолженность </w:t>
      </w:r>
      <w:r w:rsidRPr="003953F3">
        <w:rPr>
          <w:sz w:val="24"/>
          <w:szCs w:val="24"/>
        </w:rPr>
        <w:t>на конец 2020г. определилась в размере 265</w:t>
      </w:r>
      <w:r w:rsidR="00D711D0" w:rsidRPr="003953F3">
        <w:rPr>
          <w:sz w:val="24"/>
          <w:szCs w:val="24"/>
        </w:rPr>
        <w:t>,1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сомов, увеличившись по сравнению с 2019г. на 7,8 процента.</w:t>
      </w:r>
      <w:r w:rsidR="00D711D0" w:rsidRPr="003953F3">
        <w:rPr>
          <w:sz w:val="24"/>
          <w:szCs w:val="24"/>
        </w:rPr>
        <w:t xml:space="preserve"> </w:t>
      </w:r>
      <w:r w:rsidRPr="003953F3">
        <w:rPr>
          <w:sz w:val="24"/>
          <w:szCs w:val="24"/>
        </w:rPr>
        <w:t>По сравнению с 2016г., объем кредиторской задолже</w:t>
      </w:r>
      <w:r w:rsidR="00D711D0" w:rsidRPr="003953F3">
        <w:rPr>
          <w:sz w:val="24"/>
          <w:szCs w:val="24"/>
        </w:rPr>
        <w:t xml:space="preserve">нности возрос на 42,3 процента. </w:t>
      </w:r>
      <w:r w:rsidRPr="003953F3">
        <w:rPr>
          <w:sz w:val="24"/>
          <w:szCs w:val="24"/>
        </w:rPr>
        <w:t>В структуре кредиторской задолженности по состоянию на конец 2020г. наибольшие суммы долгов образованы организациями и предприятиями строительства (25,9 процента), оптовой и розничной торговли, по ремонту автомобилей и мотоциклов (24,8 процента), обрабатывающей промышленности (18,9 процента) и добычи полезных ископаемых (8,6 процента).</w:t>
      </w:r>
    </w:p>
    <w:p w:rsidR="00A06BF4" w:rsidRPr="003953F3" w:rsidRDefault="000C6B6A" w:rsidP="00D711D0">
      <w:pPr>
        <w:ind w:firstLine="709"/>
        <w:jc w:val="both"/>
        <w:rPr>
          <w:sz w:val="24"/>
          <w:szCs w:val="24"/>
        </w:rPr>
      </w:pPr>
      <w:r w:rsidRPr="003953F3">
        <w:rPr>
          <w:sz w:val="24"/>
          <w:szCs w:val="24"/>
        </w:rPr>
        <w:t xml:space="preserve">Объем </w:t>
      </w:r>
      <w:r w:rsidRPr="003953F3">
        <w:rPr>
          <w:bCs/>
          <w:iCs/>
          <w:sz w:val="24"/>
          <w:szCs w:val="24"/>
        </w:rPr>
        <w:t>просроченной кредиторской задолженности</w:t>
      </w:r>
      <w:r w:rsidRPr="003953F3">
        <w:rPr>
          <w:sz w:val="24"/>
          <w:szCs w:val="24"/>
        </w:rPr>
        <w:t xml:space="preserve"> за год возрос на 17,5 процента и на конец 2020г. составил 6</w:t>
      </w:r>
      <w:r w:rsidR="00D711D0" w:rsidRPr="003953F3">
        <w:rPr>
          <w:sz w:val="24"/>
          <w:szCs w:val="24"/>
        </w:rPr>
        <w:t>,2 млрд</w:t>
      </w:r>
      <w:r w:rsidRPr="003953F3">
        <w:rPr>
          <w:sz w:val="24"/>
          <w:szCs w:val="24"/>
        </w:rPr>
        <w:t xml:space="preserve">. сомов (или 2,3 процента от общего объема кредиторской задолженности). </w:t>
      </w:r>
      <w:bookmarkStart w:id="0" w:name="_GoBack"/>
      <w:bookmarkEnd w:id="0"/>
    </w:p>
    <w:p w:rsidR="000C6B6A" w:rsidRPr="003953F3" w:rsidRDefault="000C6B6A" w:rsidP="000C6B6A">
      <w:pPr>
        <w:spacing w:before="120"/>
        <w:ind w:firstLine="709"/>
        <w:jc w:val="both"/>
        <w:rPr>
          <w:sz w:val="24"/>
          <w:szCs w:val="24"/>
        </w:rPr>
      </w:pPr>
      <w:r w:rsidRPr="003953F3">
        <w:rPr>
          <w:sz w:val="24"/>
          <w:szCs w:val="24"/>
        </w:rPr>
        <w:t>Задолженность по кредитам банков и займам на конец 2020г. достигла 481</w:t>
      </w:r>
      <w:r w:rsidR="00D711D0" w:rsidRPr="003953F3">
        <w:rPr>
          <w:sz w:val="24"/>
          <w:szCs w:val="24"/>
        </w:rPr>
        <w:t>,2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сомов, увеличившись по сравнению с уровнем 2019г. на 19,2 процента, или на 77</w:t>
      </w:r>
      <w:r w:rsidR="00D711D0" w:rsidRPr="003953F3">
        <w:rPr>
          <w:sz w:val="24"/>
          <w:szCs w:val="24"/>
        </w:rPr>
        <w:t>,6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сомов. При этом, за последние пять лет ее объем возрос на 36,5 процента, или на 128</w:t>
      </w:r>
      <w:r w:rsidR="00D711D0" w:rsidRPr="003953F3">
        <w:rPr>
          <w:sz w:val="24"/>
          <w:szCs w:val="24"/>
        </w:rPr>
        <w:t>,6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 xml:space="preserve">. сомов. </w:t>
      </w:r>
    </w:p>
    <w:p w:rsidR="000C6B6A" w:rsidRPr="003953F3" w:rsidRDefault="000C6B6A" w:rsidP="000C6B6A">
      <w:pPr>
        <w:ind w:firstLine="709"/>
        <w:jc w:val="both"/>
        <w:rPr>
          <w:sz w:val="24"/>
          <w:szCs w:val="24"/>
        </w:rPr>
      </w:pPr>
      <w:r w:rsidRPr="003953F3">
        <w:rPr>
          <w:sz w:val="24"/>
          <w:szCs w:val="24"/>
        </w:rPr>
        <w:t xml:space="preserve">Преобладающий объем задолженности по кредитам и займам в 2020г. сформирован за счет заимствований из стран вне СНГ </w:t>
      </w:r>
      <w:r w:rsidR="00D711D0" w:rsidRPr="003953F3">
        <w:rPr>
          <w:sz w:val="24"/>
          <w:szCs w:val="24"/>
        </w:rPr>
        <w:t>–</w:t>
      </w:r>
      <w:r w:rsidRPr="003953F3">
        <w:rPr>
          <w:sz w:val="24"/>
          <w:szCs w:val="24"/>
        </w:rPr>
        <w:t xml:space="preserve"> 289</w:t>
      </w:r>
      <w:r w:rsidR="00D711D0" w:rsidRPr="003953F3">
        <w:rPr>
          <w:sz w:val="24"/>
          <w:szCs w:val="24"/>
        </w:rPr>
        <w:t>,3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рд.</w:t>
      </w:r>
      <w:r w:rsidRPr="003953F3">
        <w:rPr>
          <w:sz w:val="24"/>
          <w:szCs w:val="24"/>
        </w:rPr>
        <w:t xml:space="preserve"> сомов, или 60,1 процента от ее общего объема. На внутриреспубликанское кредитование пришлось 30,0 процента от общей суммы задолженности (или 144</w:t>
      </w:r>
      <w:r w:rsidR="00D711D0" w:rsidRPr="003953F3">
        <w:rPr>
          <w:sz w:val="24"/>
          <w:szCs w:val="24"/>
        </w:rPr>
        <w:t>,4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сомов). Из стран СНГ основными кредиторами являлись Россия (8,1 процента общего объема задолженности, или 38</w:t>
      </w:r>
      <w:r w:rsidR="00D711D0" w:rsidRPr="003953F3">
        <w:rPr>
          <w:sz w:val="24"/>
          <w:szCs w:val="24"/>
        </w:rPr>
        <w:t>,9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>. сомов) и Казахстан (1,7 процента, или 8</w:t>
      </w:r>
      <w:r w:rsidR="00D711D0" w:rsidRPr="003953F3">
        <w:rPr>
          <w:sz w:val="24"/>
          <w:szCs w:val="24"/>
        </w:rPr>
        <w:t>,2</w:t>
      </w:r>
      <w:r w:rsidRPr="003953F3">
        <w:rPr>
          <w:sz w:val="24"/>
          <w:szCs w:val="24"/>
        </w:rPr>
        <w:t xml:space="preserve"> 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 xml:space="preserve">. сомов). </w:t>
      </w:r>
    </w:p>
    <w:p w:rsidR="000C6B6A" w:rsidRPr="003953F3" w:rsidRDefault="000C6B6A" w:rsidP="000C6B6A">
      <w:pPr>
        <w:ind w:firstLine="709"/>
        <w:jc w:val="both"/>
        <w:rPr>
          <w:sz w:val="24"/>
          <w:szCs w:val="24"/>
        </w:rPr>
      </w:pPr>
      <w:r w:rsidRPr="003953F3">
        <w:rPr>
          <w:sz w:val="24"/>
          <w:szCs w:val="24"/>
        </w:rPr>
        <w:t>Просроченная задолженность по кредитам банков и займам на конец 2020г. составила 3</w:t>
      </w:r>
      <w:r w:rsidR="00D711D0" w:rsidRPr="003953F3">
        <w:rPr>
          <w:sz w:val="24"/>
          <w:szCs w:val="24"/>
        </w:rPr>
        <w:t xml:space="preserve">,9 </w:t>
      </w:r>
      <w:r w:rsidRPr="003953F3">
        <w:rPr>
          <w:sz w:val="24"/>
          <w:szCs w:val="24"/>
        </w:rPr>
        <w:t>мл</w:t>
      </w:r>
      <w:r w:rsidR="00D711D0" w:rsidRPr="003953F3">
        <w:rPr>
          <w:sz w:val="24"/>
          <w:szCs w:val="24"/>
        </w:rPr>
        <w:t>рд</w:t>
      </w:r>
      <w:r w:rsidRPr="003953F3">
        <w:rPr>
          <w:sz w:val="24"/>
          <w:szCs w:val="24"/>
        </w:rPr>
        <w:t xml:space="preserve">. сомов, или 0,8 процента от общего объема задолженности. </w:t>
      </w:r>
    </w:p>
    <w:p w:rsidR="00D711D0" w:rsidRDefault="00D711D0" w:rsidP="000C6B6A">
      <w:pPr>
        <w:ind w:firstLine="709"/>
        <w:jc w:val="both"/>
        <w:rPr>
          <w:sz w:val="24"/>
          <w:szCs w:val="24"/>
        </w:rPr>
      </w:pPr>
    </w:p>
    <w:p w:rsidR="00D711D0" w:rsidRPr="00675275" w:rsidRDefault="00D711D0" w:rsidP="00D711D0">
      <w:pPr>
        <w:pStyle w:val="a9"/>
        <w:spacing w:before="80"/>
        <w:jc w:val="both"/>
        <w:rPr>
          <w:rFonts w:ascii="Times New Roman" w:hAnsi="Times New Roman"/>
          <w:sz w:val="24"/>
          <w:szCs w:val="24"/>
        </w:rPr>
      </w:pPr>
    </w:p>
    <w:p w:rsidR="00D711D0" w:rsidRDefault="00D711D0" w:rsidP="00D711D0">
      <w:pPr>
        <w:pStyle w:val="a9"/>
        <w:spacing w:before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11D0" w:rsidRPr="00E3479D" w:rsidRDefault="00D711D0" w:rsidP="00D711D0">
      <w:pPr>
        <w:spacing w:before="40" w:after="120"/>
        <w:rPr>
          <w:sz w:val="22"/>
          <w:szCs w:val="22"/>
        </w:rPr>
      </w:pPr>
      <w:r w:rsidRPr="00F0387B">
        <w:rPr>
          <w:sz w:val="22"/>
          <w:szCs w:val="22"/>
        </w:rPr>
        <w:t xml:space="preserve">Отдел статистики </w:t>
      </w:r>
      <w:r>
        <w:rPr>
          <w:sz w:val="22"/>
          <w:szCs w:val="22"/>
        </w:rPr>
        <w:t>финансов</w:t>
      </w:r>
      <w:r w:rsidRPr="00F0387B">
        <w:rPr>
          <w:sz w:val="22"/>
          <w:szCs w:val="22"/>
        </w:rPr>
        <w:t xml:space="preserve">         |e-mail: </w:t>
      </w:r>
      <w:r>
        <w:rPr>
          <w:sz w:val="22"/>
          <w:szCs w:val="22"/>
          <w:lang w:val="en-US"/>
        </w:rPr>
        <w:t>m</w:t>
      </w:r>
      <w:r w:rsidRPr="00E3479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abdukadirova</w:t>
      </w:r>
      <w:r w:rsidRPr="00F0387B">
        <w:rPr>
          <w:sz w:val="22"/>
          <w:szCs w:val="22"/>
        </w:rPr>
        <w:t xml:space="preserve">@stat.kg;       |тел. + 996 (312)  </w:t>
      </w:r>
      <w:r w:rsidRPr="00E3479D">
        <w:rPr>
          <w:sz w:val="22"/>
          <w:szCs w:val="22"/>
        </w:rPr>
        <w:t>626073</w:t>
      </w:r>
      <w:r>
        <w:rPr>
          <w:sz w:val="22"/>
          <w:szCs w:val="22"/>
        </w:rPr>
        <w:t>, 625591</w:t>
      </w:r>
    </w:p>
    <w:p w:rsidR="00D711D0" w:rsidRPr="009501F4" w:rsidRDefault="00D711D0" w:rsidP="00D711D0">
      <w:pPr>
        <w:jc w:val="both"/>
      </w:pPr>
      <w:r w:rsidRPr="00C346CC">
        <w:t>Пользователи при использовании данных официальной статистики и соответствующих метаданных обязаны ссылаться на их источник (статья 30 Закона Кыргызской Республики "Об официальной статистике").</w:t>
      </w:r>
    </w:p>
    <w:p w:rsidR="00D711D0" w:rsidRDefault="00D711D0" w:rsidP="00D711D0">
      <w:pPr>
        <w:jc w:val="both"/>
      </w:pPr>
    </w:p>
    <w:p w:rsidR="00D711D0" w:rsidRDefault="00D711D0" w:rsidP="00D711D0">
      <w:pPr>
        <w:jc w:val="both"/>
      </w:pPr>
    </w:p>
    <w:p w:rsidR="00D711D0" w:rsidRDefault="00D711D0" w:rsidP="00D711D0">
      <w:pPr>
        <w:jc w:val="both"/>
      </w:pPr>
    </w:p>
    <w:p w:rsidR="00D711D0" w:rsidRPr="00EB523B" w:rsidRDefault="00D711D0" w:rsidP="00D711D0">
      <w:pPr>
        <w:jc w:val="both"/>
        <w:rPr>
          <w:lang w:val="en-US"/>
        </w:rPr>
      </w:pPr>
      <w:r>
        <w:lastRenderedPageBreak/>
        <w:t xml:space="preserve">     14 сентября </w:t>
      </w:r>
      <w:r w:rsidRPr="009501F4">
        <w:t>20</w:t>
      </w:r>
      <w:r>
        <w:t>21</w:t>
      </w:r>
      <w:r w:rsidRPr="009501F4">
        <w:t xml:space="preserve"> года</w:t>
      </w:r>
    </w:p>
    <w:p w:rsidR="00D711D0" w:rsidRPr="00F34B60" w:rsidRDefault="00D711D0" w:rsidP="000C6B6A">
      <w:pPr>
        <w:ind w:firstLine="709"/>
        <w:jc w:val="both"/>
        <w:rPr>
          <w:sz w:val="24"/>
          <w:szCs w:val="24"/>
        </w:rPr>
      </w:pPr>
    </w:p>
    <w:sectPr w:rsidR="00D711D0" w:rsidRPr="00F34B60" w:rsidSect="00A06BF4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4B" w:rsidRDefault="0091344B" w:rsidP="000C6B6A">
      <w:r>
        <w:separator/>
      </w:r>
    </w:p>
  </w:endnote>
  <w:endnote w:type="continuationSeparator" w:id="0">
    <w:p w:rsidR="0091344B" w:rsidRDefault="0091344B" w:rsidP="000C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4B" w:rsidRDefault="0091344B" w:rsidP="000C6B6A">
      <w:r>
        <w:separator/>
      </w:r>
    </w:p>
  </w:footnote>
  <w:footnote w:type="continuationSeparator" w:id="0">
    <w:p w:rsidR="0091344B" w:rsidRDefault="0091344B" w:rsidP="000C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A"/>
    <w:rsid w:val="00063CDD"/>
    <w:rsid w:val="00092BAE"/>
    <w:rsid w:val="000C6B6A"/>
    <w:rsid w:val="000D5895"/>
    <w:rsid w:val="001F6BDB"/>
    <w:rsid w:val="00256134"/>
    <w:rsid w:val="003953F3"/>
    <w:rsid w:val="003F063A"/>
    <w:rsid w:val="004E137C"/>
    <w:rsid w:val="00721BDE"/>
    <w:rsid w:val="0091344B"/>
    <w:rsid w:val="00951A5D"/>
    <w:rsid w:val="00A06BF4"/>
    <w:rsid w:val="00BE2710"/>
    <w:rsid w:val="00C97B3E"/>
    <w:rsid w:val="00D711D0"/>
    <w:rsid w:val="00DF60D1"/>
    <w:rsid w:val="00E64604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B3C0-E853-43C5-A46F-FE40A93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6B6A"/>
    <w:pPr>
      <w:keepNext/>
      <w:jc w:val="both"/>
      <w:outlineLvl w:val="2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B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0C6B6A"/>
    <w:pPr>
      <w:ind w:right="-1"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6B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0C6B6A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C6B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footnote reference"/>
    <w:semiHidden/>
    <w:rsid w:val="000C6B6A"/>
    <w:rPr>
      <w:vertAlign w:val="superscript"/>
    </w:rPr>
  </w:style>
  <w:style w:type="paragraph" w:styleId="a6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7"/>
    <w:uiPriority w:val="99"/>
    <w:rsid w:val="000C6B6A"/>
  </w:style>
  <w:style w:type="character" w:customStyle="1" w:styleId="a7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basedOn w:val="a0"/>
    <w:link w:val="a6"/>
    <w:uiPriority w:val="99"/>
    <w:rsid w:val="000C6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0C6B6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No Spacing"/>
    <w:uiPriority w:val="1"/>
    <w:qFormat/>
    <w:rsid w:val="000C6B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0C6B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997</Words>
  <Characters>7264</Characters>
  <Application>Microsoft Office Word</Application>
  <DocSecurity>0</DocSecurity>
  <Lines>259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Svaluyskaya</dc:creator>
  <cp:keywords/>
  <dc:description/>
  <cp:lastModifiedBy>Svaluyskaya</cp:lastModifiedBy>
  <cp:revision>11</cp:revision>
  <dcterms:created xsi:type="dcterms:W3CDTF">2021-09-13T10:03:00Z</dcterms:created>
  <dcterms:modified xsi:type="dcterms:W3CDTF">2021-09-14T04:58:00Z</dcterms:modified>
</cp:coreProperties>
</file>