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A1" w:rsidRPr="001A64C6" w:rsidRDefault="003A1BC5" w:rsidP="00B611F0">
      <w:pPr>
        <w:spacing w:after="24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5FD9" w:rsidRPr="001A64C6">
        <w:rPr>
          <w:rFonts w:ascii="Times New Roman" w:hAnsi="Times New Roman" w:cs="Times New Roman"/>
          <w:b/>
          <w:sz w:val="26"/>
          <w:szCs w:val="26"/>
        </w:rPr>
        <w:t>О развитии р</w:t>
      </w:r>
      <w:r w:rsidR="00B244A1" w:rsidRPr="001A64C6">
        <w:rPr>
          <w:rFonts w:ascii="Times New Roman" w:hAnsi="Times New Roman" w:cs="Times New Roman"/>
          <w:b/>
          <w:sz w:val="26"/>
          <w:szCs w:val="26"/>
        </w:rPr>
        <w:t>озничн</w:t>
      </w:r>
      <w:r w:rsidR="002B5FD9" w:rsidRPr="001A64C6">
        <w:rPr>
          <w:rFonts w:ascii="Times New Roman" w:hAnsi="Times New Roman" w:cs="Times New Roman"/>
          <w:b/>
          <w:sz w:val="26"/>
          <w:szCs w:val="26"/>
        </w:rPr>
        <w:t xml:space="preserve">ой </w:t>
      </w:r>
      <w:r w:rsidR="00B244A1" w:rsidRPr="001A64C6">
        <w:rPr>
          <w:rFonts w:ascii="Times New Roman" w:hAnsi="Times New Roman" w:cs="Times New Roman"/>
          <w:b/>
          <w:sz w:val="26"/>
          <w:szCs w:val="26"/>
        </w:rPr>
        <w:t>торговл</w:t>
      </w:r>
      <w:r w:rsidR="002B5FD9" w:rsidRPr="001A64C6">
        <w:rPr>
          <w:rFonts w:ascii="Times New Roman" w:hAnsi="Times New Roman" w:cs="Times New Roman"/>
          <w:b/>
          <w:sz w:val="26"/>
          <w:szCs w:val="26"/>
        </w:rPr>
        <w:t>и</w:t>
      </w:r>
      <w:r w:rsidR="006C5A2D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1 </w:t>
      </w:r>
      <w:r w:rsidR="002B5FD9" w:rsidRPr="001A64C6">
        <w:rPr>
          <w:rFonts w:ascii="Times New Roman" w:hAnsi="Times New Roman" w:cs="Times New Roman"/>
          <w:b/>
          <w:sz w:val="26"/>
          <w:szCs w:val="26"/>
        </w:rPr>
        <w:t>в</w:t>
      </w:r>
      <w:r w:rsidR="00B244A1" w:rsidRPr="001A64C6">
        <w:rPr>
          <w:rFonts w:ascii="Times New Roman" w:hAnsi="Times New Roman" w:cs="Times New Roman"/>
          <w:b/>
          <w:sz w:val="26"/>
          <w:szCs w:val="26"/>
        </w:rPr>
        <w:t xml:space="preserve"> Кыргызской Республик</w:t>
      </w:r>
      <w:r w:rsidR="002B5FD9" w:rsidRPr="001A64C6">
        <w:rPr>
          <w:rFonts w:ascii="Times New Roman" w:hAnsi="Times New Roman" w:cs="Times New Roman"/>
          <w:b/>
          <w:sz w:val="26"/>
          <w:szCs w:val="26"/>
        </w:rPr>
        <w:t>е за 2013-2017гг.</w:t>
      </w:r>
    </w:p>
    <w:p w:rsidR="00BB613F" w:rsidRPr="001A64C6" w:rsidRDefault="006C5A2D" w:rsidP="00B028C0">
      <w:pPr>
        <w:spacing w:after="12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о</w:t>
      </w:r>
      <w:r w:rsidR="00B244A1" w:rsidRPr="001A64C6">
        <w:rPr>
          <w:rFonts w:ascii="Times New Roman" w:hAnsi="Times New Roman" w:cs="Times New Roman"/>
          <w:sz w:val="26"/>
          <w:szCs w:val="26"/>
        </w:rPr>
        <w:t>борот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244A1" w:rsidRPr="001A64C6">
        <w:rPr>
          <w:rFonts w:ascii="Times New Roman" w:hAnsi="Times New Roman" w:cs="Times New Roman"/>
          <w:sz w:val="26"/>
          <w:szCs w:val="26"/>
        </w:rPr>
        <w:t xml:space="preserve"> розничной торговли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44A1" w:rsidRPr="001A64C6">
        <w:rPr>
          <w:rFonts w:ascii="Times New Roman" w:hAnsi="Times New Roman" w:cs="Times New Roman"/>
          <w:sz w:val="26"/>
          <w:szCs w:val="26"/>
        </w:rPr>
        <w:t>в 2017г</w:t>
      </w:r>
      <w:r w:rsidR="00A71AB7" w:rsidRPr="001A64C6">
        <w:rPr>
          <w:rFonts w:ascii="Times New Roman" w:hAnsi="Times New Roman" w:cs="Times New Roman"/>
          <w:sz w:val="26"/>
          <w:szCs w:val="26"/>
        </w:rPr>
        <w:t>.</w:t>
      </w:r>
      <w:r w:rsidR="00B244A1" w:rsidRPr="001A64C6">
        <w:rPr>
          <w:rFonts w:ascii="Times New Roman" w:hAnsi="Times New Roman" w:cs="Times New Roman"/>
          <w:sz w:val="26"/>
          <w:szCs w:val="26"/>
        </w:rPr>
        <w:t xml:space="preserve"> </w:t>
      </w:r>
      <w:r w:rsidR="00B40659">
        <w:rPr>
          <w:rFonts w:ascii="Times New Roman" w:hAnsi="Times New Roman" w:cs="Times New Roman"/>
          <w:sz w:val="26"/>
          <w:szCs w:val="26"/>
        </w:rPr>
        <w:t xml:space="preserve">(по уточненным данным) </w:t>
      </w:r>
      <w:r w:rsidR="00B244A1" w:rsidRPr="001A64C6">
        <w:rPr>
          <w:rFonts w:ascii="Times New Roman" w:hAnsi="Times New Roman" w:cs="Times New Roman"/>
          <w:sz w:val="26"/>
          <w:szCs w:val="26"/>
        </w:rPr>
        <w:t>составил 356</w:t>
      </w:r>
      <w:r w:rsidR="00F61899">
        <w:rPr>
          <w:rFonts w:ascii="Times New Roman" w:hAnsi="Times New Roman" w:cs="Times New Roman"/>
          <w:sz w:val="26"/>
          <w:szCs w:val="26"/>
        </w:rPr>
        <w:t>,2 млрд</w:t>
      </w:r>
      <w:r w:rsidR="00B244A1" w:rsidRPr="001A64C6">
        <w:rPr>
          <w:rFonts w:ascii="Times New Roman" w:hAnsi="Times New Roman" w:cs="Times New Roman"/>
          <w:sz w:val="26"/>
          <w:szCs w:val="26"/>
        </w:rPr>
        <w:t>.</w:t>
      </w:r>
      <w:r w:rsidR="00F61899">
        <w:rPr>
          <w:rFonts w:ascii="Times New Roman" w:hAnsi="Times New Roman" w:cs="Times New Roman"/>
          <w:sz w:val="26"/>
          <w:szCs w:val="26"/>
        </w:rPr>
        <w:t xml:space="preserve"> </w:t>
      </w:r>
      <w:r w:rsidR="00B244A1" w:rsidRPr="001A64C6">
        <w:rPr>
          <w:rFonts w:ascii="Times New Roman" w:hAnsi="Times New Roman" w:cs="Times New Roman"/>
          <w:sz w:val="26"/>
          <w:szCs w:val="26"/>
        </w:rPr>
        <w:t>сомов, что</w:t>
      </w:r>
      <w:r w:rsidR="00A71AB7" w:rsidRPr="001A64C6">
        <w:rPr>
          <w:rFonts w:ascii="Times New Roman" w:hAnsi="Times New Roman" w:cs="Times New Roman"/>
          <w:sz w:val="26"/>
          <w:szCs w:val="26"/>
        </w:rPr>
        <w:t xml:space="preserve"> </w:t>
      </w:r>
      <w:r w:rsidR="00B244A1" w:rsidRPr="001A64C6">
        <w:rPr>
          <w:rFonts w:ascii="Times New Roman" w:hAnsi="Times New Roman" w:cs="Times New Roman"/>
          <w:sz w:val="26"/>
          <w:szCs w:val="26"/>
        </w:rPr>
        <w:t xml:space="preserve">на 6,2 процента больше </w:t>
      </w:r>
      <w:r w:rsidR="00A71AB7" w:rsidRPr="001A64C6">
        <w:rPr>
          <w:rFonts w:ascii="Times New Roman" w:hAnsi="Times New Roman" w:cs="Times New Roman"/>
          <w:sz w:val="26"/>
          <w:szCs w:val="26"/>
        </w:rPr>
        <w:t xml:space="preserve">уровня </w:t>
      </w:r>
      <w:r w:rsidR="00AE3D6C">
        <w:rPr>
          <w:rFonts w:ascii="Times New Roman" w:hAnsi="Times New Roman" w:cs="Times New Roman"/>
          <w:sz w:val="26"/>
          <w:szCs w:val="26"/>
        </w:rPr>
        <w:t>предыдущего года и в 1,4 раза больше, чем в 2013г.</w:t>
      </w:r>
      <w:r w:rsidR="00C03582" w:rsidRPr="001A64C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C32CF" w:rsidRPr="001A64C6" w:rsidRDefault="008E31B3" w:rsidP="005A6145">
      <w:pPr>
        <w:spacing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64C6">
        <w:rPr>
          <w:rFonts w:ascii="Times New Roman" w:hAnsi="Times New Roman" w:cs="Times New Roman"/>
          <w:b/>
          <w:sz w:val="26"/>
          <w:szCs w:val="26"/>
        </w:rPr>
        <w:t xml:space="preserve">График 1. </w:t>
      </w:r>
      <w:r w:rsidR="006C5A2D">
        <w:rPr>
          <w:rFonts w:ascii="Times New Roman" w:hAnsi="Times New Roman" w:cs="Times New Roman"/>
          <w:b/>
          <w:sz w:val="26"/>
          <w:szCs w:val="26"/>
        </w:rPr>
        <w:t>Объем о</w:t>
      </w:r>
      <w:r w:rsidR="00BC32CF" w:rsidRPr="001A64C6">
        <w:rPr>
          <w:rFonts w:ascii="Times New Roman" w:hAnsi="Times New Roman" w:cs="Times New Roman"/>
          <w:b/>
          <w:sz w:val="26"/>
          <w:szCs w:val="26"/>
        </w:rPr>
        <w:t>борот</w:t>
      </w:r>
      <w:r w:rsidR="006C5A2D">
        <w:rPr>
          <w:rFonts w:ascii="Times New Roman" w:hAnsi="Times New Roman" w:cs="Times New Roman"/>
          <w:b/>
          <w:sz w:val="26"/>
          <w:szCs w:val="26"/>
        </w:rPr>
        <w:t>а</w:t>
      </w:r>
      <w:r w:rsidR="00BC32CF" w:rsidRPr="001A64C6">
        <w:rPr>
          <w:rFonts w:ascii="Times New Roman" w:hAnsi="Times New Roman" w:cs="Times New Roman"/>
          <w:b/>
          <w:sz w:val="26"/>
          <w:szCs w:val="26"/>
        </w:rPr>
        <w:t xml:space="preserve"> розничной торговли</w:t>
      </w:r>
      <w:r w:rsidR="004972CD" w:rsidRPr="001A64C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D2F91" w:rsidRDefault="003949D8" w:rsidP="00B40659">
      <w:pPr>
        <w:spacing w:after="120" w:line="288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1A64C6">
        <w:rPr>
          <w:rFonts w:ascii="Times New Roman" w:hAnsi="Times New Roman" w:cs="Times New Roman"/>
          <w:i/>
          <w:sz w:val="26"/>
          <w:szCs w:val="26"/>
        </w:rPr>
        <w:t>(млрд. сомов)</w:t>
      </w:r>
      <w:r w:rsidR="00AD2F91" w:rsidRPr="00AD2F91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BC32CF" w:rsidRPr="001A64C6" w:rsidRDefault="00AD2F91" w:rsidP="00AD2F91">
      <w:pPr>
        <w:spacing w:after="360" w:line="288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A64C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F33705E" wp14:editId="736AB830">
            <wp:extent cx="5939790" cy="2308884"/>
            <wp:effectExtent l="0" t="0" r="381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D2F91" w:rsidRDefault="00EA2C5C" w:rsidP="00B40659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DCC">
        <w:rPr>
          <w:rFonts w:ascii="Times New Roman" w:hAnsi="Times New Roman" w:cs="Times New Roman"/>
          <w:sz w:val="26"/>
          <w:szCs w:val="26"/>
        </w:rPr>
        <w:t xml:space="preserve">В 2017 году во всех регионах республики наблюдался рост </w:t>
      </w:r>
      <w:r w:rsidR="006C5A2D" w:rsidRPr="006D2DCC">
        <w:rPr>
          <w:rFonts w:ascii="Times New Roman" w:hAnsi="Times New Roman" w:cs="Times New Roman"/>
          <w:sz w:val="26"/>
          <w:szCs w:val="26"/>
        </w:rPr>
        <w:t>объем</w:t>
      </w:r>
      <w:r w:rsidR="000A12B6" w:rsidRPr="006D2DCC">
        <w:rPr>
          <w:rFonts w:ascii="Times New Roman" w:hAnsi="Times New Roman" w:cs="Times New Roman"/>
          <w:sz w:val="26"/>
          <w:szCs w:val="26"/>
        </w:rPr>
        <w:t>ов</w:t>
      </w:r>
      <w:r w:rsidR="006C5A2D" w:rsidRPr="006D2DCC">
        <w:rPr>
          <w:rFonts w:ascii="Times New Roman" w:hAnsi="Times New Roman" w:cs="Times New Roman"/>
          <w:sz w:val="26"/>
          <w:szCs w:val="26"/>
        </w:rPr>
        <w:t xml:space="preserve"> </w:t>
      </w:r>
      <w:r w:rsidR="000A12B6" w:rsidRPr="006D2DCC">
        <w:rPr>
          <w:rFonts w:ascii="Times New Roman" w:hAnsi="Times New Roman" w:cs="Times New Roman"/>
          <w:sz w:val="26"/>
          <w:szCs w:val="26"/>
        </w:rPr>
        <w:t xml:space="preserve">оборота </w:t>
      </w:r>
      <w:r w:rsidRPr="006D2DCC">
        <w:rPr>
          <w:rFonts w:ascii="Times New Roman" w:hAnsi="Times New Roman" w:cs="Times New Roman"/>
          <w:sz w:val="26"/>
          <w:szCs w:val="26"/>
        </w:rPr>
        <w:t>розничной торговли.</w:t>
      </w:r>
      <w:r w:rsidR="00C826D3" w:rsidRPr="006D2DCC">
        <w:rPr>
          <w:rFonts w:ascii="Times New Roman" w:hAnsi="Times New Roman" w:cs="Times New Roman"/>
          <w:sz w:val="26"/>
          <w:szCs w:val="26"/>
        </w:rPr>
        <w:t xml:space="preserve"> </w:t>
      </w:r>
      <w:r w:rsidR="0030374E" w:rsidRPr="006D2DCC">
        <w:rPr>
          <w:rFonts w:ascii="Times New Roman" w:hAnsi="Times New Roman" w:cs="Times New Roman"/>
          <w:sz w:val="26"/>
          <w:szCs w:val="26"/>
        </w:rPr>
        <w:t>Н</w:t>
      </w:r>
      <w:r w:rsidR="00DC7B1A" w:rsidRPr="006D2DCC">
        <w:rPr>
          <w:rFonts w:ascii="Times New Roman" w:hAnsi="Times New Roman" w:cs="Times New Roman"/>
          <w:sz w:val="26"/>
          <w:szCs w:val="26"/>
        </w:rPr>
        <w:t>аибольш</w:t>
      </w:r>
      <w:r w:rsidR="0030374E" w:rsidRPr="006D2DCC">
        <w:rPr>
          <w:rFonts w:ascii="Times New Roman" w:hAnsi="Times New Roman" w:cs="Times New Roman"/>
          <w:sz w:val="26"/>
          <w:szCs w:val="26"/>
        </w:rPr>
        <w:t xml:space="preserve">ая </w:t>
      </w:r>
      <w:r w:rsidR="00DC7B1A" w:rsidRPr="006D2DCC">
        <w:rPr>
          <w:rFonts w:ascii="Times New Roman" w:hAnsi="Times New Roman" w:cs="Times New Roman"/>
          <w:sz w:val="26"/>
          <w:szCs w:val="26"/>
        </w:rPr>
        <w:t>дол</w:t>
      </w:r>
      <w:r w:rsidR="00E84A40">
        <w:rPr>
          <w:rFonts w:ascii="Times New Roman" w:hAnsi="Times New Roman" w:cs="Times New Roman"/>
          <w:sz w:val="26"/>
          <w:szCs w:val="26"/>
        </w:rPr>
        <w:t>я</w:t>
      </w:r>
      <w:r w:rsidR="00DC7B1A" w:rsidRPr="006D2DCC">
        <w:rPr>
          <w:rFonts w:ascii="Times New Roman" w:hAnsi="Times New Roman" w:cs="Times New Roman"/>
          <w:sz w:val="26"/>
          <w:szCs w:val="26"/>
        </w:rPr>
        <w:t xml:space="preserve"> </w:t>
      </w:r>
      <w:r w:rsidR="0030374E" w:rsidRPr="006D2DCC">
        <w:rPr>
          <w:rFonts w:ascii="Times New Roman" w:hAnsi="Times New Roman" w:cs="Times New Roman"/>
          <w:sz w:val="26"/>
          <w:szCs w:val="26"/>
        </w:rPr>
        <w:t xml:space="preserve">в объеме оборота </w:t>
      </w:r>
      <w:r w:rsidR="005309D9" w:rsidRPr="006D2DCC">
        <w:rPr>
          <w:rFonts w:ascii="Times New Roman" w:hAnsi="Times New Roman" w:cs="Times New Roman"/>
          <w:sz w:val="26"/>
          <w:szCs w:val="26"/>
        </w:rPr>
        <w:t>пришлась</w:t>
      </w:r>
      <w:r w:rsidR="00D40577" w:rsidRPr="006D2DCC">
        <w:rPr>
          <w:rFonts w:ascii="Times New Roman" w:hAnsi="Times New Roman" w:cs="Times New Roman"/>
          <w:sz w:val="26"/>
          <w:szCs w:val="26"/>
        </w:rPr>
        <w:t xml:space="preserve"> </w:t>
      </w:r>
      <w:r w:rsidR="005309D9" w:rsidRPr="006D2DCC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69462C">
        <w:rPr>
          <w:rFonts w:ascii="Times New Roman" w:hAnsi="Times New Roman" w:cs="Times New Roman"/>
          <w:sz w:val="26"/>
          <w:szCs w:val="26"/>
        </w:rPr>
        <w:t>г.</w:t>
      </w:r>
      <w:r w:rsidR="001D03C8" w:rsidRPr="006D2DCC">
        <w:rPr>
          <w:rFonts w:ascii="Times New Roman" w:hAnsi="Times New Roman" w:cs="Times New Roman"/>
          <w:sz w:val="26"/>
          <w:szCs w:val="26"/>
        </w:rPr>
        <w:t>Бишкек</w:t>
      </w:r>
      <w:proofErr w:type="spellEnd"/>
      <w:r w:rsidR="001D03C8" w:rsidRPr="006D2DCC">
        <w:rPr>
          <w:rFonts w:ascii="Times New Roman" w:hAnsi="Times New Roman" w:cs="Times New Roman"/>
          <w:sz w:val="26"/>
          <w:szCs w:val="26"/>
        </w:rPr>
        <w:t xml:space="preserve"> </w:t>
      </w:r>
      <w:r w:rsidR="001D03C8" w:rsidRPr="000F4FC4">
        <w:rPr>
          <w:rFonts w:ascii="Times New Roman" w:hAnsi="Times New Roman" w:cs="Times New Roman"/>
          <w:sz w:val="26"/>
          <w:szCs w:val="26"/>
        </w:rPr>
        <w:t xml:space="preserve">в </w:t>
      </w:r>
      <w:r w:rsidR="00F91036" w:rsidRPr="000F4FC4">
        <w:rPr>
          <w:rFonts w:ascii="Times New Roman" w:hAnsi="Times New Roman" w:cs="Times New Roman"/>
          <w:sz w:val="26"/>
          <w:szCs w:val="26"/>
        </w:rPr>
        <w:t>оборот</w:t>
      </w:r>
      <w:r w:rsidR="00D40577" w:rsidRPr="000F4FC4">
        <w:rPr>
          <w:rFonts w:ascii="Times New Roman" w:hAnsi="Times New Roman" w:cs="Times New Roman"/>
          <w:sz w:val="26"/>
          <w:szCs w:val="26"/>
        </w:rPr>
        <w:t>е</w:t>
      </w:r>
      <w:r w:rsidR="00F91036" w:rsidRPr="000F4FC4">
        <w:rPr>
          <w:rFonts w:ascii="Times New Roman" w:hAnsi="Times New Roman" w:cs="Times New Roman"/>
          <w:sz w:val="26"/>
          <w:szCs w:val="26"/>
        </w:rPr>
        <w:t xml:space="preserve"> </w:t>
      </w:r>
      <w:r w:rsidR="00656535" w:rsidRPr="000F4FC4">
        <w:rPr>
          <w:rFonts w:ascii="Times New Roman" w:hAnsi="Times New Roman" w:cs="Times New Roman"/>
          <w:sz w:val="26"/>
          <w:szCs w:val="26"/>
        </w:rPr>
        <w:t xml:space="preserve">розничной </w:t>
      </w:r>
      <w:r w:rsidR="00F91036" w:rsidRPr="000F4FC4">
        <w:rPr>
          <w:rFonts w:ascii="Times New Roman" w:hAnsi="Times New Roman" w:cs="Times New Roman"/>
          <w:sz w:val="26"/>
          <w:szCs w:val="26"/>
        </w:rPr>
        <w:t>торговли</w:t>
      </w:r>
      <w:r w:rsidR="00F91036" w:rsidRPr="006D2DCC">
        <w:rPr>
          <w:rFonts w:ascii="Times New Roman" w:hAnsi="Times New Roman" w:cs="Times New Roman"/>
          <w:sz w:val="26"/>
          <w:szCs w:val="26"/>
        </w:rPr>
        <w:t xml:space="preserve"> </w:t>
      </w:r>
      <w:r w:rsidR="001D03C8" w:rsidRPr="006D2DCC">
        <w:rPr>
          <w:rFonts w:ascii="Times New Roman" w:hAnsi="Times New Roman" w:cs="Times New Roman"/>
          <w:sz w:val="26"/>
          <w:szCs w:val="26"/>
        </w:rPr>
        <w:t>более 36%</w:t>
      </w:r>
      <w:r w:rsidR="00565FFF" w:rsidRPr="006D2DCC">
        <w:rPr>
          <w:rFonts w:ascii="Times New Roman" w:hAnsi="Times New Roman" w:cs="Times New Roman"/>
          <w:sz w:val="26"/>
          <w:szCs w:val="26"/>
        </w:rPr>
        <w:t xml:space="preserve">, </w:t>
      </w:r>
      <w:r w:rsidR="001D03C8" w:rsidRPr="006D2DCC">
        <w:rPr>
          <w:rFonts w:ascii="Times New Roman" w:hAnsi="Times New Roman" w:cs="Times New Roman"/>
          <w:sz w:val="26"/>
          <w:szCs w:val="26"/>
        </w:rPr>
        <w:t>Джалал-Абадской</w:t>
      </w:r>
      <w:r w:rsidR="00D40577" w:rsidRPr="006D2DCC">
        <w:rPr>
          <w:rFonts w:ascii="Times New Roman" w:hAnsi="Times New Roman" w:cs="Times New Roman"/>
          <w:sz w:val="26"/>
          <w:szCs w:val="26"/>
        </w:rPr>
        <w:t xml:space="preserve"> </w:t>
      </w:r>
      <w:r w:rsidR="001D03C8" w:rsidRPr="006D2DCC">
        <w:rPr>
          <w:rFonts w:ascii="Times New Roman" w:hAnsi="Times New Roman" w:cs="Times New Roman"/>
          <w:sz w:val="26"/>
          <w:szCs w:val="26"/>
        </w:rPr>
        <w:t>области</w:t>
      </w:r>
      <w:r w:rsidR="00F91036" w:rsidRPr="006D2DCC">
        <w:rPr>
          <w:rFonts w:ascii="Times New Roman" w:hAnsi="Times New Roman" w:cs="Times New Roman"/>
          <w:sz w:val="26"/>
          <w:szCs w:val="26"/>
        </w:rPr>
        <w:t xml:space="preserve"> - </w:t>
      </w:r>
      <w:r w:rsidR="001D03C8" w:rsidRPr="006D2DCC">
        <w:rPr>
          <w:rFonts w:ascii="Times New Roman" w:hAnsi="Times New Roman" w:cs="Times New Roman"/>
          <w:sz w:val="26"/>
          <w:szCs w:val="26"/>
        </w:rPr>
        <w:t>около 16%</w:t>
      </w:r>
      <w:r w:rsidR="00DC7B1A" w:rsidRPr="006D2DCC">
        <w:rPr>
          <w:rFonts w:ascii="Times New Roman" w:hAnsi="Times New Roman" w:cs="Times New Roman"/>
          <w:sz w:val="26"/>
          <w:szCs w:val="26"/>
        </w:rPr>
        <w:t xml:space="preserve"> </w:t>
      </w:r>
      <w:r w:rsidR="00565FFF" w:rsidRPr="006D2DCC">
        <w:rPr>
          <w:rFonts w:ascii="Times New Roman" w:hAnsi="Times New Roman" w:cs="Times New Roman"/>
          <w:sz w:val="26"/>
          <w:szCs w:val="26"/>
        </w:rPr>
        <w:t xml:space="preserve">и </w:t>
      </w:r>
      <w:r w:rsidR="001D03C8" w:rsidRPr="006D2DCC">
        <w:rPr>
          <w:rFonts w:ascii="Times New Roman" w:hAnsi="Times New Roman" w:cs="Times New Roman"/>
          <w:sz w:val="26"/>
          <w:szCs w:val="26"/>
        </w:rPr>
        <w:t>Чуйской области</w:t>
      </w:r>
      <w:r w:rsidR="00F91036" w:rsidRPr="006D2DCC">
        <w:rPr>
          <w:rFonts w:ascii="Times New Roman" w:hAnsi="Times New Roman" w:cs="Times New Roman"/>
          <w:sz w:val="26"/>
          <w:szCs w:val="26"/>
        </w:rPr>
        <w:t xml:space="preserve"> - </w:t>
      </w:r>
      <w:r w:rsidR="00565FFF" w:rsidRPr="006D2DCC">
        <w:rPr>
          <w:rFonts w:ascii="Times New Roman" w:hAnsi="Times New Roman" w:cs="Times New Roman"/>
          <w:sz w:val="26"/>
          <w:szCs w:val="26"/>
        </w:rPr>
        <w:t>около 15</w:t>
      </w:r>
      <w:r w:rsidR="00565FFF" w:rsidRPr="001A64C6">
        <w:rPr>
          <w:rFonts w:ascii="Times New Roman" w:hAnsi="Times New Roman" w:cs="Times New Roman"/>
          <w:sz w:val="26"/>
          <w:szCs w:val="26"/>
        </w:rPr>
        <w:t>%</w:t>
      </w:r>
      <w:r w:rsidR="003833C1" w:rsidRPr="001A64C6">
        <w:rPr>
          <w:rFonts w:ascii="Times New Roman" w:hAnsi="Times New Roman" w:cs="Times New Roman"/>
          <w:sz w:val="26"/>
          <w:szCs w:val="26"/>
        </w:rPr>
        <w:t>.</w:t>
      </w:r>
    </w:p>
    <w:p w:rsidR="00E60923" w:rsidRDefault="008E31B3" w:rsidP="0069462C">
      <w:pPr>
        <w:spacing w:before="120" w:line="288" w:lineRule="auto"/>
        <w:rPr>
          <w:noProof/>
          <w:lang w:eastAsia="ru-RU"/>
        </w:rPr>
      </w:pPr>
      <w:r w:rsidRPr="001A64C6">
        <w:rPr>
          <w:rFonts w:ascii="Times New Roman" w:hAnsi="Times New Roman" w:cs="Times New Roman"/>
          <w:b/>
          <w:sz w:val="26"/>
          <w:szCs w:val="26"/>
        </w:rPr>
        <w:t xml:space="preserve">График 2. </w:t>
      </w:r>
      <w:r w:rsidR="00DF797F" w:rsidRPr="001A64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0923" w:rsidRPr="001A64C6">
        <w:rPr>
          <w:rFonts w:ascii="Times New Roman" w:hAnsi="Times New Roman" w:cs="Times New Roman"/>
          <w:b/>
          <w:sz w:val="26"/>
          <w:szCs w:val="26"/>
        </w:rPr>
        <w:t>Индекс физического объема оборота розничной торговли</w:t>
      </w:r>
      <w:r w:rsidR="0069462C">
        <w:rPr>
          <w:rFonts w:ascii="Times New Roman" w:hAnsi="Times New Roman" w:cs="Times New Roman"/>
          <w:b/>
          <w:sz w:val="26"/>
          <w:szCs w:val="26"/>
        </w:rPr>
        <w:br/>
        <w:t xml:space="preserve">                    </w:t>
      </w:r>
      <w:r w:rsidR="00757E56" w:rsidRPr="001A64C6">
        <w:rPr>
          <w:rFonts w:ascii="Times New Roman" w:hAnsi="Times New Roman" w:cs="Times New Roman"/>
          <w:b/>
          <w:sz w:val="26"/>
          <w:szCs w:val="26"/>
        </w:rPr>
        <w:t>по территории</w:t>
      </w:r>
      <w:r w:rsidR="00AD2F91" w:rsidRPr="00AD2F91">
        <w:rPr>
          <w:noProof/>
          <w:lang w:eastAsia="ru-RU"/>
        </w:rPr>
        <w:t xml:space="preserve"> </w:t>
      </w:r>
      <w:r w:rsidR="00F01D44">
        <w:rPr>
          <w:noProof/>
          <w:lang w:eastAsia="ru-RU"/>
        </w:rPr>
        <w:t xml:space="preserve"> </w:t>
      </w:r>
    </w:p>
    <w:p w:rsidR="00F01D44" w:rsidRPr="00F01D44" w:rsidRDefault="00F01D44" w:rsidP="00F01D44">
      <w:pPr>
        <w:spacing w:after="240" w:line="288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</w:t>
      </w:r>
      <w:r w:rsidRPr="00F01D44">
        <w:rPr>
          <w:rFonts w:ascii="Times New Roman" w:hAnsi="Times New Roman" w:cs="Times New Roman"/>
          <w:i/>
        </w:rPr>
        <w:t>(в процентах к предыдущему году)</w:t>
      </w:r>
    </w:p>
    <w:p w:rsidR="004E28F8" w:rsidRDefault="00AD2F91" w:rsidP="00B03642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DEEE138" wp14:editId="4042EB00">
            <wp:extent cx="5600700" cy="28384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40659" w:rsidRPr="00B028C0" w:rsidRDefault="00B40659" w:rsidP="00B028C0">
      <w:pPr>
        <w:spacing w:before="120"/>
        <w:rPr>
          <w:rFonts w:ascii="Times New Roman" w:hAnsi="Times New Roman" w:cs="Times New Roman"/>
          <w:sz w:val="18"/>
          <w:szCs w:val="18"/>
        </w:rPr>
      </w:pPr>
      <w:r w:rsidRPr="00B028C0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proofErr w:type="gramStart"/>
      <w:r w:rsidRPr="00B028C0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B028C0">
        <w:rPr>
          <w:rFonts w:ascii="Times New Roman" w:hAnsi="Times New Roman" w:cs="Times New Roman"/>
          <w:sz w:val="18"/>
          <w:szCs w:val="18"/>
        </w:rPr>
        <w:t xml:space="preserve"> оборот розничной торговли включается оборот розничной торговли моторным топливом, розничной торговли автомобилями, мотоциклами и оборот предприятий питания (ресторанов, кафе, баров, столовых и др.)</w:t>
      </w:r>
      <w:r w:rsidR="00B028C0">
        <w:rPr>
          <w:rFonts w:ascii="Times New Roman" w:hAnsi="Times New Roman" w:cs="Times New Roman"/>
          <w:sz w:val="18"/>
          <w:szCs w:val="18"/>
        </w:rPr>
        <w:t>.</w:t>
      </w:r>
      <w:r w:rsidRPr="00B028C0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7777EF" w:rsidRPr="00810665" w:rsidRDefault="00534989" w:rsidP="00F2320D">
      <w:pPr>
        <w:spacing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r w:rsidR="0067754A" w:rsidRPr="001A64C6">
        <w:rPr>
          <w:rFonts w:ascii="Times New Roman" w:hAnsi="Times New Roman" w:cs="Times New Roman"/>
          <w:sz w:val="26"/>
          <w:szCs w:val="26"/>
        </w:rPr>
        <w:t>2017 году оборот розничной торговли</w:t>
      </w:r>
      <w:r w:rsidR="00187031">
        <w:rPr>
          <w:rFonts w:ascii="Times New Roman" w:hAnsi="Times New Roman" w:cs="Times New Roman"/>
          <w:sz w:val="26"/>
          <w:szCs w:val="26"/>
        </w:rPr>
        <w:t xml:space="preserve"> </w:t>
      </w:r>
      <w:r w:rsidR="00D40577">
        <w:rPr>
          <w:rFonts w:ascii="Times New Roman" w:hAnsi="Times New Roman" w:cs="Times New Roman"/>
          <w:sz w:val="26"/>
          <w:szCs w:val="26"/>
        </w:rPr>
        <w:t>б</w:t>
      </w:r>
      <w:r w:rsidR="0067754A" w:rsidRPr="001A64C6">
        <w:rPr>
          <w:rFonts w:ascii="Times New Roman" w:hAnsi="Times New Roman" w:cs="Times New Roman"/>
          <w:sz w:val="26"/>
          <w:szCs w:val="26"/>
        </w:rPr>
        <w:t>олее</w:t>
      </w:r>
      <w:r w:rsidR="00D40577">
        <w:rPr>
          <w:rFonts w:ascii="Times New Roman" w:hAnsi="Times New Roman" w:cs="Times New Roman"/>
          <w:sz w:val="26"/>
          <w:szCs w:val="26"/>
        </w:rPr>
        <w:t xml:space="preserve"> чем на </w:t>
      </w:r>
      <w:r w:rsidR="0067754A" w:rsidRPr="001A64C6">
        <w:rPr>
          <w:rFonts w:ascii="Times New Roman" w:hAnsi="Times New Roman" w:cs="Times New Roman"/>
          <w:sz w:val="26"/>
          <w:szCs w:val="26"/>
        </w:rPr>
        <w:t>56 процентов сформировался</w:t>
      </w:r>
      <w:r w:rsidR="002A6274">
        <w:rPr>
          <w:rFonts w:ascii="Times New Roman" w:hAnsi="Times New Roman" w:cs="Times New Roman"/>
          <w:sz w:val="26"/>
          <w:szCs w:val="26"/>
        </w:rPr>
        <w:t xml:space="preserve"> </w:t>
      </w:r>
      <w:r w:rsidR="0067754A" w:rsidRPr="001A64C6">
        <w:rPr>
          <w:rFonts w:ascii="Times New Roman" w:hAnsi="Times New Roman" w:cs="Times New Roman"/>
          <w:sz w:val="26"/>
          <w:szCs w:val="26"/>
        </w:rPr>
        <w:t xml:space="preserve">торгующими </w:t>
      </w:r>
      <w:r w:rsidR="0067754A" w:rsidRPr="006D2DCC">
        <w:rPr>
          <w:rFonts w:ascii="Times New Roman" w:hAnsi="Times New Roman" w:cs="Times New Roman"/>
          <w:sz w:val="26"/>
          <w:szCs w:val="26"/>
        </w:rPr>
        <w:t>организациями и индивидуальными предпринимателями (физическими лицами), осуществляющими деятельность</w:t>
      </w:r>
      <w:r w:rsidR="006D2DCC">
        <w:rPr>
          <w:rFonts w:ascii="Times New Roman" w:hAnsi="Times New Roman" w:cs="Times New Roman"/>
          <w:sz w:val="26"/>
          <w:szCs w:val="26"/>
        </w:rPr>
        <w:t xml:space="preserve"> </w:t>
      </w:r>
      <w:r w:rsidR="006C5A2D" w:rsidRPr="006D2DCC">
        <w:rPr>
          <w:rFonts w:ascii="Times New Roman" w:hAnsi="Times New Roman" w:cs="Times New Roman"/>
          <w:sz w:val="26"/>
          <w:szCs w:val="26"/>
        </w:rPr>
        <w:t>в стационарн</w:t>
      </w:r>
      <w:r w:rsidR="006D2DCC">
        <w:rPr>
          <w:rFonts w:ascii="Times New Roman" w:hAnsi="Times New Roman" w:cs="Times New Roman"/>
          <w:sz w:val="26"/>
          <w:szCs w:val="26"/>
        </w:rPr>
        <w:t>ых</w:t>
      </w:r>
      <w:r w:rsidR="006C5A2D" w:rsidRPr="006D2DCC">
        <w:rPr>
          <w:rFonts w:ascii="Times New Roman" w:hAnsi="Times New Roman" w:cs="Times New Roman"/>
          <w:sz w:val="26"/>
          <w:szCs w:val="26"/>
        </w:rPr>
        <w:t xml:space="preserve"> торгов</w:t>
      </w:r>
      <w:r w:rsidR="006D2DCC">
        <w:rPr>
          <w:rFonts w:ascii="Times New Roman" w:hAnsi="Times New Roman" w:cs="Times New Roman"/>
          <w:sz w:val="26"/>
          <w:szCs w:val="26"/>
        </w:rPr>
        <w:t>ых</w:t>
      </w:r>
      <w:r w:rsidR="006C5A2D" w:rsidRPr="006D2DCC">
        <w:rPr>
          <w:rFonts w:ascii="Times New Roman" w:hAnsi="Times New Roman" w:cs="Times New Roman"/>
          <w:sz w:val="26"/>
          <w:szCs w:val="26"/>
        </w:rPr>
        <w:t xml:space="preserve"> сет</w:t>
      </w:r>
      <w:r w:rsidR="006D2DCC">
        <w:rPr>
          <w:rFonts w:ascii="Times New Roman" w:hAnsi="Times New Roman" w:cs="Times New Roman"/>
          <w:sz w:val="26"/>
          <w:szCs w:val="26"/>
        </w:rPr>
        <w:t>ей</w:t>
      </w:r>
      <w:r w:rsidR="0067754A" w:rsidRPr="006D2DCC">
        <w:rPr>
          <w:rFonts w:ascii="Times New Roman" w:hAnsi="Times New Roman" w:cs="Times New Roman"/>
          <w:sz w:val="26"/>
          <w:szCs w:val="26"/>
        </w:rPr>
        <w:t xml:space="preserve"> (вне рынка)</w:t>
      </w:r>
      <w:r w:rsidR="00D40577" w:rsidRPr="006D2DCC">
        <w:rPr>
          <w:rFonts w:ascii="Times New Roman" w:hAnsi="Times New Roman" w:cs="Times New Roman"/>
          <w:sz w:val="26"/>
          <w:szCs w:val="26"/>
        </w:rPr>
        <w:t xml:space="preserve">, </w:t>
      </w:r>
      <w:r w:rsidR="0067754A" w:rsidRPr="006D2DCC">
        <w:rPr>
          <w:rFonts w:ascii="Times New Roman" w:hAnsi="Times New Roman" w:cs="Times New Roman"/>
          <w:sz w:val="26"/>
          <w:szCs w:val="26"/>
        </w:rPr>
        <w:t xml:space="preserve">объем </w:t>
      </w:r>
      <w:r w:rsidR="00D40577" w:rsidRPr="006D2DCC">
        <w:rPr>
          <w:rFonts w:ascii="Times New Roman" w:hAnsi="Times New Roman" w:cs="Times New Roman"/>
          <w:sz w:val="26"/>
          <w:szCs w:val="26"/>
        </w:rPr>
        <w:t>продаж,</w:t>
      </w:r>
      <w:r w:rsidR="0067754A" w:rsidRPr="006D2DCC">
        <w:rPr>
          <w:rFonts w:ascii="Times New Roman" w:hAnsi="Times New Roman" w:cs="Times New Roman"/>
          <w:sz w:val="26"/>
          <w:szCs w:val="26"/>
        </w:rPr>
        <w:t xml:space="preserve"> которых в 2017 году </w:t>
      </w:r>
      <w:r w:rsidR="00D40577" w:rsidRPr="006D2DCC">
        <w:rPr>
          <w:rFonts w:ascii="Times New Roman" w:hAnsi="Times New Roman" w:cs="Times New Roman"/>
          <w:sz w:val="26"/>
          <w:szCs w:val="26"/>
        </w:rPr>
        <w:t xml:space="preserve">к уровню 2016 года </w:t>
      </w:r>
      <w:r w:rsidR="0067754A" w:rsidRPr="006D2DCC">
        <w:rPr>
          <w:rFonts w:ascii="Times New Roman" w:hAnsi="Times New Roman" w:cs="Times New Roman"/>
          <w:sz w:val="26"/>
          <w:szCs w:val="26"/>
        </w:rPr>
        <w:t>увеличился на 11,5 процента и составил</w:t>
      </w:r>
      <w:r w:rsidR="00E62FC2" w:rsidRPr="006D2DCC">
        <w:rPr>
          <w:rFonts w:ascii="Times New Roman" w:hAnsi="Times New Roman" w:cs="Times New Roman"/>
          <w:sz w:val="26"/>
          <w:szCs w:val="26"/>
        </w:rPr>
        <w:t xml:space="preserve"> </w:t>
      </w:r>
      <w:r w:rsidR="009E5675" w:rsidRPr="006D2DCC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67754A" w:rsidRPr="006D2DCC">
        <w:rPr>
          <w:rFonts w:ascii="Times New Roman" w:hAnsi="Times New Roman" w:cs="Times New Roman"/>
          <w:sz w:val="26"/>
          <w:szCs w:val="26"/>
        </w:rPr>
        <w:t>200</w:t>
      </w:r>
      <w:r w:rsidR="009E5675" w:rsidRPr="006D2DCC">
        <w:rPr>
          <w:rFonts w:ascii="Times New Roman" w:hAnsi="Times New Roman" w:cs="Times New Roman"/>
          <w:sz w:val="26"/>
          <w:szCs w:val="26"/>
        </w:rPr>
        <w:t xml:space="preserve"> </w:t>
      </w:r>
      <w:r w:rsidR="00E62FC2" w:rsidRPr="006D2DCC">
        <w:rPr>
          <w:rFonts w:ascii="Times New Roman" w:hAnsi="Times New Roman" w:cs="Times New Roman"/>
          <w:sz w:val="26"/>
          <w:szCs w:val="26"/>
        </w:rPr>
        <w:t>млрд</w:t>
      </w:r>
      <w:r w:rsidR="0067754A" w:rsidRPr="006D2DCC">
        <w:rPr>
          <w:rFonts w:ascii="Times New Roman" w:hAnsi="Times New Roman" w:cs="Times New Roman"/>
          <w:sz w:val="26"/>
          <w:szCs w:val="26"/>
        </w:rPr>
        <w:t>. сомов.  Доля продаж товаров на рынках</w:t>
      </w:r>
      <w:r w:rsidR="00B66E2E" w:rsidRPr="006D2DCC">
        <w:rPr>
          <w:rFonts w:ascii="Times New Roman" w:hAnsi="Times New Roman" w:cs="Times New Roman"/>
          <w:sz w:val="26"/>
          <w:szCs w:val="26"/>
        </w:rPr>
        <w:t xml:space="preserve"> </w:t>
      </w:r>
      <w:r w:rsidR="0067754A" w:rsidRPr="006D2DCC">
        <w:rPr>
          <w:rFonts w:ascii="Times New Roman" w:hAnsi="Times New Roman" w:cs="Times New Roman"/>
          <w:sz w:val="26"/>
          <w:szCs w:val="26"/>
        </w:rPr>
        <w:t>ежегодно сокраща</w:t>
      </w:r>
      <w:r w:rsidR="00D40577" w:rsidRPr="006D2DCC">
        <w:rPr>
          <w:rFonts w:ascii="Times New Roman" w:hAnsi="Times New Roman" w:cs="Times New Roman"/>
          <w:sz w:val="26"/>
          <w:szCs w:val="26"/>
        </w:rPr>
        <w:t>лась</w:t>
      </w:r>
      <w:r w:rsidR="00D40577" w:rsidRPr="00810665">
        <w:rPr>
          <w:rFonts w:ascii="Times New Roman" w:hAnsi="Times New Roman" w:cs="Times New Roman"/>
          <w:sz w:val="26"/>
          <w:szCs w:val="26"/>
        </w:rPr>
        <w:t xml:space="preserve"> </w:t>
      </w:r>
      <w:r w:rsidR="0067754A" w:rsidRPr="00810665">
        <w:rPr>
          <w:rFonts w:ascii="Times New Roman" w:hAnsi="Times New Roman" w:cs="Times New Roman"/>
          <w:sz w:val="26"/>
          <w:szCs w:val="26"/>
        </w:rPr>
        <w:t>и в 2017 году составил</w:t>
      </w:r>
      <w:r w:rsidR="00D40577" w:rsidRPr="00810665">
        <w:rPr>
          <w:rFonts w:ascii="Times New Roman" w:hAnsi="Times New Roman" w:cs="Times New Roman"/>
          <w:sz w:val="26"/>
          <w:szCs w:val="26"/>
        </w:rPr>
        <w:t>а</w:t>
      </w:r>
      <w:r w:rsidR="0067754A" w:rsidRPr="00810665">
        <w:rPr>
          <w:rFonts w:ascii="Times New Roman" w:hAnsi="Times New Roman" w:cs="Times New Roman"/>
          <w:sz w:val="26"/>
          <w:szCs w:val="26"/>
        </w:rPr>
        <w:t xml:space="preserve"> </w:t>
      </w:r>
      <w:r w:rsidR="00E62FC2" w:rsidRPr="00810665">
        <w:rPr>
          <w:rFonts w:ascii="Times New Roman" w:hAnsi="Times New Roman" w:cs="Times New Roman"/>
          <w:sz w:val="26"/>
          <w:szCs w:val="26"/>
        </w:rPr>
        <w:t xml:space="preserve">около </w:t>
      </w:r>
      <w:r w:rsidR="0067754A" w:rsidRPr="00810665">
        <w:rPr>
          <w:rFonts w:ascii="Times New Roman" w:hAnsi="Times New Roman" w:cs="Times New Roman"/>
          <w:sz w:val="26"/>
          <w:szCs w:val="26"/>
        </w:rPr>
        <w:t>4</w:t>
      </w:r>
      <w:r w:rsidR="00E62FC2" w:rsidRPr="00810665">
        <w:rPr>
          <w:rFonts w:ascii="Times New Roman" w:hAnsi="Times New Roman" w:cs="Times New Roman"/>
          <w:sz w:val="26"/>
          <w:szCs w:val="26"/>
        </w:rPr>
        <w:t>4</w:t>
      </w:r>
      <w:r w:rsidR="004F13F3" w:rsidRPr="00810665">
        <w:rPr>
          <w:rFonts w:ascii="Times New Roman" w:hAnsi="Times New Roman" w:cs="Times New Roman"/>
          <w:sz w:val="26"/>
          <w:szCs w:val="26"/>
        </w:rPr>
        <w:t>%</w:t>
      </w:r>
      <w:r w:rsidR="007777EF" w:rsidRPr="00810665">
        <w:rPr>
          <w:rFonts w:ascii="Times New Roman" w:hAnsi="Times New Roman" w:cs="Times New Roman"/>
          <w:sz w:val="26"/>
          <w:szCs w:val="26"/>
        </w:rPr>
        <w:t xml:space="preserve"> (в 2013г. – 51</w:t>
      </w:r>
      <w:r w:rsidR="004F13F3" w:rsidRPr="00810665">
        <w:rPr>
          <w:rFonts w:ascii="Times New Roman" w:hAnsi="Times New Roman" w:cs="Times New Roman"/>
          <w:sz w:val="26"/>
          <w:szCs w:val="26"/>
        </w:rPr>
        <w:t>%</w:t>
      </w:r>
      <w:r w:rsidR="007777EF" w:rsidRPr="00810665">
        <w:rPr>
          <w:rFonts w:ascii="Times New Roman" w:hAnsi="Times New Roman" w:cs="Times New Roman"/>
          <w:sz w:val="26"/>
          <w:szCs w:val="26"/>
        </w:rPr>
        <w:t>),</w:t>
      </w:r>
      <w:r w:rsidR="00165FCF">
        <w:rPr>
          <w:rFonts w:ascii="Times New Roman" w:hAnsi="Times New Roman" w:cs="Times New Roman"/>
          <w:sz w:val="26"/>
          <w:szCs w:val="26"/>
        </w:rPr>
        <w:t xml:space="preserve"> </w:t>
      </w:r>
      <w:r w:rsidR="007777EF" w:rsidRPr="00810665">
        <w:rPr>
          <w:rFonts w:ascii="Times New Roman" w:hAnsi="Times New Roman" w:cs="Times New Roman"/>
          <w:sz w:val="26"/>
          <w:szCs w:val="26"/>
        </w:rPr>
        <w:t>что</w:t>
      </w:r>
      <w:r w:rsidR="004F13F3" w:rsidRPr="00810665">
        <w:rPr>
          <w:rFonts w:ascii="Times New Roman" w:hAnsi="Times New Roman" w:cs="Times New Roman"/>
          <w:sz w:val="26"/>
          <w:szCs w:val="26"/>
        </w:rPr>
        <w:t xml:space="preserve"> </w:t>
      </w:r>
      <w:r w:rsidR="007777EF" w:rsidRPr="00810665">
        <w:rPr>
          <w:rFonts w:ascii="Times New Roman" w:hAnsi="Times New Roman" w:cs="Times New Roman"/>
          <w:sz w:val="26"/>
          <w:szCs w:val="26"/>
        </w:rPr>
        <w:t>свидетельствует о перераспределении покупательского спроса под влиянием конкуренции, которая способствовала сглаживанию уровня цен в стационарных объектах торговли и на объектах рыночной торговли (рынки, ярмарки).</w:t>
      </w:r>
    </w:p>
    <w:p w:rsidR="00AA5190" w:rsidRDefault="008E31B3" w:rsidP="006018E6">
      <w:pPr>
        <w:spacing w:before="240" w:after="6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665">
        <w:rPr>
          <w:rFonts w:ascii="Times New Roman" w:hAnsi="Times New Roman" w:cs="Times New Roman"/>
          <w:b/>
          <w:sz w:val="26"/>
          <w:szCs w:val="26"/>
        </w:rPr>
        <w:t xml:space="preserve">График 3. </w:t>
      </w:r>
      <w:r w:rsidR="00DF797F" w:rsidRPr="008106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33C1" w:rsidRPr="00810665">
        <w:rPr>
          <w:rFonts w:ascii="Times New Roman" w:hAnsi="Times New Roman" w:cs="Times New Roman"/>
          <w:b/>
          <w:sz w:val="26"/>
          <w:szCs w:val="26"/>
        </w:rPr>
        <w:t>Структура</w:t>
      </w:r>
      <w:r w:rsidR="002B5FD9" w:rsidRPr="00810665">
        <w:rPr>
          <w:rFonts w:ascii="Times New Roman" w:hAnsi="Times New Roman" w:cs="Times New Roman"/>
          <w:b/>
          <w:sz w:val="26"/>
          <w:szCs w:val="26"/>
        </w:rPr>
        <w:t xml:space="preserve"> оборота</w:t>
      </w:r>
      <w:r w:rsidR="003833C1" w:rsidRPr="00810665">
        <w:rPr>
          <w:rFonts w:ascii="Times New Roman" w:hAnsi="Times New Roman" w:cs="Times New Roman"/>
          <w:b/>
          <w:sz w:val="26"/>
          <w:szCs w:val="26"/>
        </w:rPr>
        <w:t xml:space="preserve"> рознично</w:t>
      </w:r>
      <w:r w:rsidR="002B5FD9" w:rsidRPr="00810665">
        <w:rPr>
          <w:rFonts w:ascii="Times New Roman" w:hAnsi="Times New Roman" w:cs="Times New Roman"/>
          <w:b/>
          <w:sz w:val="26"/>
          <w:szCs w:val="26"/>
        </w:rPr>
        <w:t>й</w:t>
      </w:r>
      <w:r w:rsidR="002B5FD9" w:rsidRPr="001A64C6">
        <w:rPr>
          <w:rFonts w:ascii="Times New Roman" w:hAnsi="Times New Roman" w:cs="Times New Roman"/>
          <w:b/>
          <w:sz w:val="26"/>
          <w:szCs w:val="26"/>
        </w:rPr>
        <w:t xml:space="preserve"> торговли</w:t>
      </w:r>
      <w:r w:rsidR="006C5A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73DE" w:rsidRPr="001A64C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AA5190" w:rsidRPr="001A64C6">
        <w:rPr>
          <w:rFonts w:ascii="Times New Roman" w:hAnsi="Times New Roman" w:cs="Times New Roman"/>
          <w:b/>
          <w:sz w:val="26"/>
          <w:szCs w:val="26"/>
        </w:rPr>
        <w:t>2017г.</w:t>
      </w:r>
    </w:p>
    <w:p w:rsidR="003D0585" w:rsidRPr="003D0585" w:rsidRDefault="003D0585" w:rsidP="006018E6">
      <w:pPr>
        <w:spacing w:after="400" w:line="288" w:lineRule="auto"/>
        <w:jc w:val="center"/>
        <w:rPr>
          <w:rFonts w:ascii="Times New Roman" w:hAnsi="Times New Roman" w:cs="Times New Roman"/>
          <w:i/>
        </w:rPr>
      </w:pPr>
      <w:r w:rsidRPr="003D0585">
        <w:rPr>
          <w:rFonts w:ascii="Times New Roman" w:hAnsi="Times New Roman" w:cs="Times New Roman"/>
          <w:i/>
        </w:rPr>
        <w:t>(в процентах к общему объему)</w:t>
      </w:r>
    </w:p>
    <w:p w:rsidR="003D0585" w:rsidRDefault="00870108" w:rsidP="00E52102">
      <w:pPr>
        <w:spacing w:before="240" w:after="36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64C6">
        <w:rPr>
          <w:rFonts w:ascii="Times New Roman" w:hAnsi="Times New Roman" w:cs="Times New Roman"/>
          <w:noProof/>
          <w:sz w:val="26"/>
          <w:szCs w:val="26"/>
          <w:highlight w:val="red"/>
          <w:lang w:eastAsia="ru-RU"/>
        </w:rPr>
        <w:drawing>
          <wp:inline distT="0" distB="0" distL="0" distR="0" wp14:anchorId="5EA6FE87" wp14:editId="477F6931">
            <wp:extent cx="5476875" cy="28479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470C" w:rsidRPr="001A64C6" w:rsidRDefault="001029B9" w:rsidP="00870108">
      <w:pPr>
        <w:spacing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64C6">
        <w:rPr>
          <w:rFonts w:ascii="Times New Roman" w:hAnsi="Times New Roman" w:cs="Times New Roman"/>
          <w:sz w:val="26"/>
          <w:szCs w:val="26"/>
        </w:rPr>
        <w:t>Доля непродовольственных товаров в обороте розничной торговли</w:t>
      </w:r>
      <w:r w:rsidR="00BC6193">
        <w:rPr>
          <w:rFonts w:ascii="Times New Roman" w:hAnsi="Times New Roman" w:cs="Times New Roman"/>
          <w:sz w:val="26"/>
          <w:szCs w:val="26"/>
        </w:rPr>
        <w:t xml:space="preserve"> </w:t>
      </w:r>
      <w:r w:rsidRPr="001A64C6">
        <w:rPr>
          <w:rFonts w:ascii="Times New Roman" w:hAnsi="Times New Roman" w:cs="Times New Roman"/>
          <w:sz w:val="26"/>
          <w:szCs w:val="26"/>
        </w:rPr>
        <w:t xml:space="preserve">на протяжении последних 5 лет ниже объемов продажи продовольственных товаров. </w:t>
      </w:r>
    </w:p>
    <w:p w:rsidR="00AD54F7" w:rsidRDefault="001029B9" w:rsidP="008112BD">
      <w:pPr>
        <w:spacing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64C6">
        <w:rPr>
          <w:rFonts w:ascii="Times New Roman" w:hAnsi="Times New Roman" w:cs="Times New Roman"/>
          <w:sz w:val="26"/>
          <w:szCs w:val="26"/>
        </w:rPr>
        <w:t xml:space="preserve">В 2017г. в </w:t>
      </w:r>
      <w:r w:rsidR="007777EF" w:rsidRPr="001A64C6">
        <w:rPr>
          <w:rFonts w:ascii="Times New Roman" w:hAnsi="Times New Roman" w:cs="Times New Roman"/>
          <w:sz w:val="26"/>
          <w:szCs w:val="26"/>
        </w:rPr>
        <w:t xml:space="preserve">структуре оборота розничной торговли удельный вес </w:t>
      </w:r>
      <w:r w:rsidR="004F13F3" w:rsidRPr="001A64C6">
        <w:rPr>
          <w:rFonts w:ascii="Times New Roman" w:hAnsi="Times New Roman" w:cs="Times New Roman"/>
          <w:sz w:val="26"/>
          <w:szCs w:val="26"/>
        </w:rPr>
        <w:t xml:space="preserve">продовольственных товаров </w:t>
      </w:r>
      <w:r w:rsidR="007777EF" w:rsidRPr="001A64C6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4F13F3" w:rsidRPr="001A64C6">
        <w:rPr>
          <w:rFonts w:ascii="Times New Roman" w:hAnsi="Times New Roman" w:cs="Times New Roman"/>
          <w:sz w:val="26"/>
          <w:szCs w:val="26"/>
        </w:rPr>
        <w:t xml:space="preserve">54%, </w:t>
      </w:r>
      <w:r w:rsidR="007777EF" w:rsidRPr="001A64C6">
        <w:rPr>
          <w:rFonts w:ascii="Times New Roman" w:hAnsi="Times New Roman" w:cs="Times New Roman"/>
          <w:sz w:val="26"/>
          <w:szCs w:val="26"/>
        </w:rPr>
        <w:t xml:space="preserve">непродовольственных товаров – </w:t>
      </w:r>
      <w:r w:rsidR="004F13F3" w:rsidRPr="001A64C6">
        <w:rPr>
          <w:rFonts w:ascii="Times New Roman" w:hAnsi="Times New Roman" w:cs="Times New Roman"/>
          <w:sz w:val="26"/>
          <w:szCs w:val="26"/>
        </w:rPr>
        <w:t>46%</w:t>
      </w:r>
      <w:r w:rsidR="004C49E8" w:rsidRPr="001A64C6">
        <w:rPr>
          <w:rFonts w:ascii="Times New Roman" w:hAnsi="Times New Roman" w:cs="Times New Roman"/>
          <w:sz w:val="26"/>
          <w:szCs w:val="26"/>
        </w:rPr>
        <w:t xml:space="preserve"> (в 2013г. 52% и 48%</w:t>
      </w:r>
      <w:r w:rsidR="00D40577">
        <w:rPr>
          <w:rFonts w:ascii="Times New Roman" w:hAnsi="Times New Roman" w:cs="Times New Roman"/>
          <w:sz w:val="26"/>
          <w:szCs w:val="26"/>
        </w:rPr>
        <w:t xml:space="preserve">, </w:t>
      </w:r>
      <w:r w:rsidR="004C49E8" w:rsidRPr="001A64C6">
        <w:rPr>
          <w:rFonts w:ascii="Times New Roman" w:hAnsi="Times New Roman" w:cs="Times New Roman"/>
          <w:sz w:val="26"/>
          <w:szCs w:val="26"/>
        </w:rPr>
        <w:t>соответственно).</w:t>
      </w:r>
      <w:r w:rsidR="0036117F" w:rsidRPr="001A64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31B3" w:rsidRPr="004057DB" w:rsidRDefault="008E31B3" w:rsidP="008112BD">
      <w:pPr>
        <w:spacing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57DB">
        <w:rPr>
          <w:rFonts w:ascii="Times New Roman" w:hAnsi="Times New Roman" w:cs="Times New Roman"/>
          <w:sz w:val="26"/>
          <w:szCs w:val="26"/>
        </w:rPr>
        <w:t xml:space="preserve">Населению </w:t>
      </w:r>
      <w:r w:rsidR="00D40577" w:rsidRPr="004057DB">
        <w:rPr>
          <w:rFonts w:ascii="Times New Roman" w:hAnsi="Times New Roman" w:cs="Times New Roman"/>
          <w:sz w:val="26"/>
          <w:szCs w:val="26"/>
        </w:rPr>
        <w:t xml:space="preserve">в 2017г. </w:t>
      </w:r>
      <w:r w:rsidRPr="004057DB">
        <w:rPr>
          <w:rFonts w:ascii="Times New Roman" w:hAnsi="Times New Roman" w:cs="Times New Roman"/>
          <w:sz w:val="26"/>
          <w:szCs w:val="26"/>
        </w:rPr>
        <w:t>реализовано пищевых продуктов, включая напитки</w:t>
      </w:r>
      <w:r w:rsidR="00106B29" w:rsidRPr="004057DB">
        <w:rPr>
          <w:rFonts w:ascii="Times New Roman" w:hAnsi="Times New Roman" w:cs="Times New Roman"/>
          <w:sz w:val="26"/>
          <w:szCs w:val="26"/>
        </w:rPr>
        <w:t xml:space="preserve"> </w:t>
      </w:r>
      <w:r w:rsidRPr="004057DB">
        <w:rPr>
          <w:rFonts w:ascii="Times New Roman" w:hAnsi="Times New Roman" w:cs="Times New Roman"/>
          <w:sz w:val="26"/>
          <w:szCs w:val="26"/>
        </w:rPr>
        <w:t xml:space="preserve">на </w:t>
      </w:r>
      <w:r w:rsidR="00810665" w:rsidRPr="004057DB">
        <w:rPr>
          <w:rFonts w:ascii="Times New Roman" w:hAnsi="Times New Roman" w:cs="Times New Roman"/>
          <w:sz w:val="26"/>
          <w:szCs w:val="26"/>
        </w:rPr>
        <w:t>9,7</w:t>
      </w:r>
      <w:r w:rsidRPr="004057DB">
        <w:rPr>
          <w:rFonts w:ascii="Times New Roman" w:hAnsi="Times New Roman" w:cs="Times New Roman"/>
          <w:sz w:val="26"/>
          <w:szCs w:val="26"/>
        </w:rPr>
        <w:t>% больше, чем в 2016г., в 1,</w:t>
      </w:r>
      <w:r w:rsidR="00810665" w:rsidRPr="004057DB">
        <w:rPr>
          <w:rFonts w:ascii="Times New Roman" w:hAnsi="Times New Roman" w:cs="Times New Roman"/>
          <w:sz w:val="26"/>
          <w:szCs w:val="26"/>
        </w:rPr>
        <w:t>6</w:t>
      </w:r>
      <w:r w:rsidRPr="004057DB">
        <w:rPr>
          <w:rFonts w:ascii="Times New Roman" w:hAnsi="Times New Roman" w:cs="Times New Roman"/>
          <w:sz w:val="26"/>
          <w:szCs w:val="26"/>
        </w:rPr>
        <w:t xml:space="preserve"> раза больше, чем в 2013г. </w:t>
      </w:r>
    </w:p>
    <w:p w:rsidR="0091245E" w:rsidRPr="006D2DCC" w:rsidRDefault="00D1563D" w:rsidP="008112BD">
      <w:pPr>
        <w:spacing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DCC">
        <w:rPr>
          <w:rFonts w:ascii="Times New Roman" w:hAnsi="Times New Roman" w:cs="Times New Roman"/>
          <w:sz w:val="26"/>
          <w:szCs w:val="26"/>
        </w:rPr>
        <w:t>В</w:t>
      </w:r>
      <w:r w:rsidR="0091245E" w:rsidRPr="006D2DCC">
        <w:rPr>
          <w:rFonts w:ascii="Times New Roman" w:hAnsi="Times New Roman" w:cs="Times New Roman"/>
          <w:sz w:val="26"/>
          <w:szCs w:val="26"/>
        </w:rPr>
        <w:t xml:space="preserve"> </w:t>
      </w:r>
      <w:r w:rsidRPr="006D2DCC">
        <w:rPr>
          <w:rFonts w:ascii="Times New Roman" w:hAnsi="Times New Roman" w:cs="Times New Roman"/>
          <w:sz w:val="26"/>
          <w:szCs w:val="26"/>
        </w:rPr>
        <w:t>товарной структуре розничной торговли пищевыми продуктами предприятий преобладают</w:t>
      </w:r>
      <w:r w:rsidR="0091245E" w:rsidRPr="006D2DCC">
        <w:rPr>
          <w:rFonts w:ascii="Times New Roman" w:hAnsi="Times New Roman" w:cs="Times New Roman"/>
          <w:sz w:val="26"/>
          <w:szCs w:val="26"/>
        </w:rPr>
        <w:t xml:space="preserve"> мясо и мясопродукты, молоко и молочные продукты, кондитерские изделия, плоды и ягоды, а также мука, хлеб и хлебобулочные изделия.  </w:t>
      </w:r>
      <w:r w:rsidRPr="006D2D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563D" w:rsidRPr="006D2DCC" w:rsidRDefault="0091245E" w:rsidP="008112BD">
      <w:pPr>
        <w:spacing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DCC">
        <w:rPr>
          <w:rFonts w:ascii="Times New Roman" w:hAnsi="Times New Roman" w:cs="Times New Roman"/>
          <w:sz w:val="26"/>
          <w:szCs w:val="26"/>
        </w:rPr>
        <w:t xml:space="preserve">В 2017г. населению реализовано </w:t>
      </w:r>
      <w:r w:rsidR="00491539" w:rsidRPr="006D2DCC">
        <w:rPr>
          <w:rFonts w:ascii="Times New Roman" w:hAnsi="Times New Roman" w:cs="Times New Roman"/>
          <w:sz w:val="26"/>
          <w:szCs w:val="26"/>
        </w:rPr>
        <w:t>мясо</w:t>
      </w:r>
      <w:r w:rsidR="00B611F0" w:rsidRPr="006D2DCC">
        <w:rPr>
          <w:rFonts w:ascii="Times New Roman" w:hAnsi="Times New Roman" w:cs="Times New Roman"/>
          <w:sz w:val="26"/>
          <w:szCs w:val="26"/>
        </w:rPr>
        <w:t xml:space="preserve"> </w:t>
      </w:r>
      <w:r w:rsidR="00491539" w:rsidRPr="006D2DCC">
        <w:rPr>
          <w:rFonts w:ascii="Times New Roman" w:hAnsi="Times New Roman" w:cs="Times New Roman"/>
          <w:sz w:val="26"/>
          <w:szCs w:val="26"/>
        </w:rPr>
        <w:t xml:space="preserve">и мясо продукты на </w:t>
      </w:r>
      <w:r w:rsidR="00B611F0" w:rsidRPr="006D2DCC">
        <w:rPr>
          <w:rFonts w:ascii="Times New Roman" w:hAnsi="Times New Roman" w:cs="Times New Roman"/>
          <w:sz w:val="26"/>
          <w:szCs w:val="26"/>
        </w:rPr>
        <w:t>7</w:t>
      </w:r>
      <w:r w:rsidR="00491539" w:rsidRPr="006D2DCC">
        <w:rPr>
          <w:rFonts w:ascii="Times New Roman" w:hAnsi="Times New Roman" w:cs="Times New Roman"/>
          <w:sz w:val="26"/>
          <w:szCs w:val="26"/>
        </w:rPr>
        <w:t>,5</w:t>
      </w:r>
      <w:r w:rsidR="00B611F0" w:rsidRPr="006D2DCC">
        <w:rPr>
          <w:rFonts w:ascii="Times New Roman" w:hAnsi="Times New Roman" w:cs="Times New Roman"/>
          <w:sz w:val="26"/>
          <w:szCs w:val="26"/>
        </w:rPr>
        <w:t xml:space="preserve"> </w:t>
      </w:r>
      <w:r w:rsidR="00491539" w:rsidRPr="006D2DCC">
        <w:rPr>
          <w:rFonts w:ascii="Times New Roman" w:hAnsi="Times New Roman" w:cs="Times New Roman"/>
          <w:sz w:val="26"/>
          <w:szCs w:val="26"/>
        </w:rPr>
        <w:t>процента больше, чем в 2016г. (в 1,</w:t>
      </w:r>
      <w:r w:rsidR="000A12B6" w:rsidRPr="006D2DCC">
        <w:rPr>
          <w:rFonts w:ascii="Times New Roman" w:hAnsi="Times New Roman" w:cs="Times New Roman"/>
          <w:sz w:val="26"/>
          <w:szCs w:val="26"/>
        </w:rPr>
        <w:t>3</w:t>
      </w:r>
      <w:r w:rsidR="00491539" w:rsidRPr="006D2DCC">
        <w:rPr>
          <w:rFonts w:ascii="Times New Roman" w:hAnsi="Times New Roman" w:cs="Times New Roman"/>
          <w:sz w:val="26"/>
          <w:szCs w:val="26"/>
        </w:rPr>
        <w:t xml:space="preserve"> раза больше, чем в 2013г.), </w:t>
      </w:r>
      <w:r w:rsidRPr="006D2DCC">
        <w:rPr>
          <w:rFonts w:ascii="Times New Roman" w:hAnsi="Times New Roman" w:cs="Times New Roman"/>
          <w:sz w:val="26"/>
          <w:szCs w:val="26"/>
        </w:rPr>
        <w:t>мука, хлеб и хлебобулочные изделия</w:t>
      </w:r>
      <w:r w:rsidR="00491539" w:rsidRPr="006D2DCC">
        <w:rPr>
          <w:rFonts w:ascii="Times New Roman" w:hAnsi="Times New Roman" w:cs="Times New Roman"/>
          <w:sz w:val="26"/>
          <w:szCs w:val="26"/>
        </w:rPr>
        <w:t xml:space="preserve"> – на </w:t>
      </w:r>
      <w:r w:rsidRPr="006D2DCC">
        <w:rPr>
          <w:rFonts w:ascii="Times New Roman" w:hAnsi="Times New Roman" w:cs="Times New Roman"/>
          <w:sz w:val="26"/>
          <w:szCs w:val="26"/>
        </w:rPr>
        <w:t xml:space="preserve">14,7% </w:t>
      </w:r>
      <w:r w:rsidR="006B5B07" w:rsidRPr="006D2DCC">
        <w:rPr>
          <w:rFonts w:ascii="Times New Roman" w:hAnsi="Times New Roman" w:cs="Times New Roman"/>
          <w:sz w:val="26"/>
          <w:szCs w:val="26"/>
        </w:rPr>
        <w:t xml:space="preserve">(в 1,6 раза), </w:t>
      </w:r>
      <w:r w:rsidR="00DA6FDF" w:rsidRPr="006D2DCC">
        <w:rPr>
          <w:rFonts w:ascii="Times New Roman" w:hAnsi="Times New Roman" w:cs="Times New Roman"/>
          <w:sz w:val="26"/>
          <w:szCs w:val="26"/>
        </w:rPr>
        <w:t xml:space="preserve">кондитерские изделия – на 4,7 процента (в 1,2 раза), </w:t>
      </w:r>
      <w:r w:rsidR="006B5B07" w:rsidRPr="006D2DCC">
        <w:rPr>
          <w:rFonts w:ascii="Times New Roman" w:hAnsi="Times New Roman" w:cs="Times New Roman"/>
          <w:sz w:val="26"/>
          <w:szCs w:val="26"/>
        </w:rPr>
        <w:lastRenderedPageBreak/>
        <w:t xml:space="preserve">молоко и молочные продукты – на </w:t>
      </w:r>
      <w:r w:rsidR="000A12B6" w:rsidRPr="006D2DCC">
        <w:rPr>
          <w:rFonts w:ascii="Times New Roman" w:hAnsi="Times New Roman" w:cs="Times New Roman"/>
          <w:sz w:val="26"/>
          <w:szCs w:val="26"/>
        </w:rPr>
        <w:t xml:space="preserve">7,0 </w:t>
      </w:r>
      <w:r w:rsidR="006B5B07" w:rsidRPr="006D2DCC">
        <w:rPr>
          <w:rFonts w:ascii="Times New Roman" w:hAnsi="Times New Roman" w:cs="Times New Roman"/>
          <w:sz w:val="26"/>
          <w:szCs w:val="26"/>
        </w:rPr>
        <w:t>процента (в 1,</w:t>
      </w:r>
      <w:r w:rsidR="000A12B6" w:rsidRPr="006D2DCC">
        <w:rPr>
          <w:rFonts w:ascii="Times New Roman" w:hAnsi="Times New Roman" w:cs="Times New Roman"/>
          <w:sz w:val="26"/>
          <w:szCs w:val="26"/>
        </w:rPr>
        <w:t>3</w:t>
      </w:r>
      <w:r w:rsidR="006B5B07" w:rsidRPr="006D2DCC">
        <w:rPr>
          <w:rFonts w:ascii="Times New Roman" w:hAnsi="Times New Roman" w:cs="Times New Roman"/>
          <w:sz w:val="26"/>
          <w:szCs w:val="26"/>
        </w:rPr>
        <w:t xml:space="preserve"> раза), </w:t>
      </w:r>
      <w:r w:rsidR="00491539" w:rsidRPr="006D2DCC">
        <w:rPr>
          <w:rFonts w:ascii="Times New Roman" w:hAnsi="Times New Roman" w:cs="Times New Roman"/>
          <w:sz w:val="26"/>
          <w:szCs w:val="26"/>
        </w:rPr>
        <w:t xml:space="preserve">плоды и ягоды – на 12,5 процента (в 1,4 раза), </w:t>
      </w:r>
      <w:r w:rsidR="006B5B07" w:rsidRPr="006D2DCC">
        <w:rPr>
          <w:rFonts w:ascii="Times New Roman" w:hAnsi="Times New Roman" w:cs="Times New Roman"/>
          <w:sz w:val="26"/>
          <w:szCs w:val="26"/>
        </w:rPr>
        <w:t>соответственно</w:t>
      </w:r>
      <w:r w:rsidR="00491539" w:rsidRPr="006D2DCC">
        <w:rPr>
          <w:rFonts w:ascii="Times New Roman" w:hAnsi="Times New Roman" w:cs="Times New Roman"/>
          <w:sz w:val="26"/>
          <w:szCs w:val="26"/>
        </w:rPr>
        <w:t>.</w:t>
      </w:r>
      <w:r w:rsidR="006B5B07" w:rsidRPr="006D2DCC">
        <w:rPr>
          <w:rFonts w:ascii="Times New Roman" w:hAnsi="Times New Roman" w:cs="Times New Roman"/>
          <w:sz w:val="26"/>
          <w:szCs w:val="26"/>
        </w:rPr>
        <w:t xml:space="preserve"> </w:t>
      </w:r>
      <w:r w:rsidRPr="006D2DCC">
        <w:rPr>
          <w:rFonts w:ascii="Times New Roman" w:hAnsi="Times New Roman" w:cs="Times New Roman"/>
          <w:sz w:val="26"/>
          <w:szCs w:val="26"/>
        </w:rPr>
        <w:t xml:space="preserve">  </w:t>
      </w:r>
      <w:r w:rsidR="00D1563D" w:rsidRPr="006D2D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6B29" w:rsidRPr="006D2DCC" w:rsidRDefault="00845CD5" w:rsidP="008112BD">
      <w:pPr>
        <w:spacing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DCC">
        <w:rPr>
          <w:rFonts w:ascii="Times New Roman" w:hAnsi="Times New Roman" w:cs="Times New Roman"/>
          <w:sz w:val="26"/>
          <w:szCs w:val="26"/>
        </w:rPr>
        <w:t>В 2017г. объем оборота розничной торговли непродовольственными товарами составил 163</w:t>
      </w:r>
      <w:r w:rsidR="008112BD" w:rsidRPr="006D2DCC">
        <w:rPr>
          <w:rFonts w:ascii="Times New Roman" w:hAnsi="Times New Roman" w:cs="Times New Roman"/>
          <w:sz w:val="26"/>
          <w:szCs w:val="26"/>
        </w:rPr>
        <w:t>,5 млрд</w:t>
      </w:r>
      <w:r w:rsidRPr="006D2DCC">
        <w:rPr>
          <w:rFonts w:ascii="Times New Roman" w:hAnsi="Times New Roman" w:cs="Times New Roman"/>
          <w:sz w:val="26"/>
          <w:szCs w:val="26"/>
        </w:rPr>
        <w:t>. сомов, что по сравнению с 2016г. на 2,2 процента больше, а по сравнению с 2013г. – в 1,2 раза</w:t>
      </w:r>
      <w:r w:rsidR="00D40577" w:rsidRPr="006D2DCC">
        <w:rPr>
          <w:rFonts w:ascii="Times New Roman" w:hAnsi="Times New Roman" w:cs="Times New Roman"/>
          <w:sz w:val="26"/>
          <w:szCs w:val="26"/>
        </w:rPr>
        <w:t xml:space="preserve"> больше</w:t>
      </w:r>
      <w:r w:rsidRPr="006D2DC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C0120" w:rsidRPr="006D2DCC" w:rsidRDefault="00EC0120" w:rsidP="008112BD">
      <w:pPr>
        <w:spacing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DCC">
        <w:rPr>
          <w:rFonts w:ascii="Times New Roman" w:hAnsi="Times New Roman" w:cs="Times New Roman"/>
          <w:sz w:val="26"/>
          <w:szCs w:val="26"/>
        </w:rPr>
        <w:t xml:space="preserve">В структуре товарных позиций непродовольственных товаров по итогам 2017г. предприятиями </w:t>
      </w:r>
      <w:r w:rsidR="00A1349A" w:rsidRPr="006D2DCC">
        <w:rPr>
          <w:rFonts w:ascii="Times New Roman" w:hAnsi="Times New Roman" w:cs="Times New Roman"/>
          <w:sz w:val="26"/>
          <w:szCs w:val="26"/>
        </w:rPr>
        <w:t>торговли преобладают</w:t>
      </w:r>
      <w:r w:rsidR="00DE2FA0" w:rsidRPr="006D2DCC">
        <w:rPr>
          <w:rFonts w:ascii="Times New Roman" w:hAnsi="Times New Roman" w:cs="Times New Roman"/>
          <w:sz w:val="26"/>
          <w:szCs w:val="26"/>
        </w:rPr>
        <w:t xml:space="preserve"> </w:t>
      </w:r>
      <w:r w:rsidR="00B611F0" w:rsidRPr="006D2DCC">
        <w:rPr>
          <w:rFonts w:ascii="Times New Roman" w:hAnsi="Times New Roman" w:cs="Times New Roman"/>
          <w:sz w:val="26"/>
          <w:szCs w:val="26"/>
        </w:rPr>
        <w:t>горюче-смазочные материалы</w:t>
      </w:r>
      <w:r w:rsidR="00DE2FA0" w:rsidRPr="006D2DCC">
        <w:rPr>
          <w:rFonts w:ascii="Times New Roman" w:hAnsi="Times New Roman" w:cs="Times New Roman"/>
          <w:sz w:val="26"/>
          <w:szCs w:val="26"/>
        </w:rPr>
        <w:t xml:space="preserve"> – 34,2%, строительные</w:t>
      </w:r>
      <w:r w:rsidR="00B611F0" w:rsidRPr="006D2DCC">
        <w:rPr>
          <w:rFonts w:ascii="Times New Roman" w:hAnsi="Times New Roman" w:cs="Times New Roman"/>
          <w:sz w:val="26"/>
          <w:szCs w:val="26"/>
        </w:rPr>
        <w:t xml:space="preserve"> </w:t>
      </w:r>
      <w:r w:rsidR="00DE2FA0" w:rsidRPr="006D2DCC">
        <w:rPr>
          <w:rFonts w:ascii="Times New Roman" w:hAnsi="Times New Roman" w:cs="Times New Roman"/>
          <w:sz w:val="26"/>
          <w:szCs w:val="26"/>
        </w:rPr>
        <w:t>материалы – 12,4%, швейные изделия – 8,6%, обуви – 7,9% автомобили – 7,2%, и фармацевтические препараты -3,6%.</w:t>
      </w:r>
      <w:r w:rsidR="00A1349A" w:rsidRPr="006D2DC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611F0" w:rsidRDefault="00106B29" w:rsidP="00DA6FDF">
      <w:pPr>
        <w:spacing w:after="24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DCC">
        <w:rPr>
          <w:rFonts w:ascii="Times New Roman" w:hAnsi="Times New Roman" w:cs="Times New Roman"/>
          <w:sz w:val="26"/>
          <w:szCs w:val="26"/>
        </w:rPr>
        <w:t>В 2017г. населению реализовано строительные материалы на</w:t>
      </w:r>
      <w:r w:rsidR="005F3DEB" w:rsidRPr="006D2DCC">
        <w:rPr>
          <w:rFonts w:ascii="Times New Roman" w:hAnsi="Times New Roman" w:cs="Times New Roman"/>
          <w:sz w:val="26"/>
          <w:szCs w:val="26"/>
        </w:rPr>
        <w:t xml:space="preserve"> 14,0 процента больше, чем в 2016г. (в 2,7 раза больше, чем в 2013г.), </w:t>
      </w:r>
      <w:r w:rsidR="00810665" w:rsidRPr="006D2DCC">
        <w:rPr>
          <w:rFonts w:ascii="Times New Roman" w:hAnsi="Times New Roman" w:cs="Times New Roman"/>
          <w:sz w:val="26"/>
          <w:szCs w:val="26"/>
        </w:rPr>
        <w:t xml:space="preserve">горюче-смазочные материалы </w:t>
      </w:r>
      <w:r w:rsidR="00DA6FDF" w:rsidRPr="006D2DCC">
        <w:rPr>
          <w:rFonts w:ascii="Times New Roman" w:hAnsi="Times New Roman" w:cs="Times New Roman"/>
          <w:sz w:val="26"/>
          <w:szCs w:val="26"/>
        </w:rPr>
        <w:t xml:space="preserve">- </w:t>
      </w:r>
      <w:r w:rsidR="00810665" w:rsidRPr="006D2DCC">
        <w:rPr>
          <w:rFonts w:ascii="Times New Roman" w:hAnsi="Times New Roman" w:cs="Times New Roman"/>
          <w:sz w:val="26"/>
          <w:szCs w:val="26"/>
        </w:rPr>
        <w:t>на</w:t>
      </w:r>
      <w:r w:rsidR="000A12B6" w:rsidRPr="006D2DCC">
        <w:rPr>
          <w:rFonts w:ascii="Times New Roman" w:hAnsi="Times New Roman" w:cs="Times New Roman"/>
          <w:sz w:val="26"/>
          <w:szCs w:val="26"/>
        </w:rPr>
        <w:t xml:space="preserve"> 2,5 процента</w:t>
      </w:r>
      <w:r w:rsidR="00DA6FDF" w:rsidRPr="006D2DCC">
        <w:rPr>
          <w:rFonts w:ascii="Times New Roman" w:hAnsi="Times New Roman" w:cs="Times New Roman"/>
          <w:sz w:val="26"/>
          <w:szCs w:val="26"/>
        </w:rPr>
        <w:t xml:space="preserve"> (</w:t>
      </w:r>
      <w:r w:rsidR="000A12B6" w:rsidRPr="006D2DCC">
        <w:rPr>
          <w:rFonts w:ascii="Times New Roman" w:hAnsi="Times New Roman" w:cs="Times New Roman"/>
          <w:sz w:val="26"/>
          <w:szCs w:val="26"/>
        </w:rPr>
        <w:t>в 1,7 раза</w:t>
      </w:r>
      <w:r w:rsidR="00DA6FDF" w:rsidRPr="006D2DCC">
        <w:rPr>
          <w:rFonts w:ascii="Times New Roman" w:hAnsi="Times New Roman" w:cs="Times New Roman"/>
          <w:sz w:val="26"/>
          <w:szCs w:val="26"/>
        </w:rPr>
        <w:t>), соответственно</w:t>
      </w:r>
      <w:r w:rsidR="000A12B6" w:rsidRPr="006D2DCC">
        <w:rPr>
          <w:rFonts w:ascii="Times New Roman" w:hAnsi="Times New Roman" w:cs="Times New Roman"/>
          <w:sz w:val="26"/>
          <w:szCs w:val="26"/>
        </w:rPr>
        <w:t>.</w:t>
      </w:r>
      <w:r w:rsidR="00810665">
        <w:rPr>
          <w:rFonts w:ascii="Times New Roman" w:hAnsi="Times New Roman" w:cs="Times New Roman"/>
          <w:sz w:val="26"/>
          <w:szCs w:val="26"/>
        </w:rPr>
        <w:t xml:space="preserve"> </w:t>
      </w:r>
      <w:r w:rsidR="001E1AE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45CD5" w:rsidRPr="001A64C6" w:rsidRDefault="00DF5F92" w:rsidP="00F73A22">
      <w:pPr>
        <w:spacing w:after="120"/>
        <w:ind w:left="1304" w:hanging="130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1</w:t>
      </w:r>
      <w:r w:rsidR="00DF797F" w:rsidRPr="001A64C6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9A7366">
        <w:rPr>
          <w:rFonts w:ascii="Times New Roman" w:hAnsi="Times New Roman" w:cs="Times New Roman"/>
          <w:b/>
          <w:sz w:val="26"/>
          <w:szCs w:val="26"/>
        </w:rPr>
        <w:t>Индексы физического объема оборота</w:t>
      </w:r>
      <w:r w:rsidR="008E31B3" w:rsidRPr="001A64C6">
        <w:rPr>
          <w:rFonts w:ascii="Times New Roman" w:hAnsi="Times New Roman" w:cs="Times New Roman"/>
          <w:b/>
          <w:sz w:val="26"/>
          <w:szCs w:val="26"/>
        </w:rPr>
        <w:t xml:space="preserve"> розничной торговли </w:t>
      </w:r>
      <w:r w:rsidR="00F73A2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E31B3" w:rsidRPr="001A64C6">
        <w:rPr>
          <w:rFonts w:ascii="Times New Roman" w:hAnsi="Times New Roman" w:cs="Times New Roman"/>
          <w:b/>
          <w:sz w:val="26"/>
          <w:szCs w:val="26"/>
        </w:rPr>
        <w:t xml:space="preserve">продовольственными </w:t>
      </w:r>
      <w:r>
        <w:rPr>
          <w:rFonts w:ascii="Times New Roman" w:hAnsi="Times New Roman" w:cs="Times New Roman"/>
          <w:b/>
          <w:sz w:val="26"/>
          <w:szCs w:val="26"/>
        </w:rPr>
        <w:t>и непродовольственными товарами</w:t>
      </w:r>
    </w:p>
    <w:tbl>
      <w:tblPr>
        <w:tblStyle w:val="a7"/>
        <w:tblpPr w:leftFromText="180" w:rightFromText="180" w:vertAnchor="text" w:horzAnchor="margin" w:tblpY="114"/>
        <w:tblW w:w="9479" w:type="dxa"/>
        <w:tblLook w:val="04A0" w:firstRow="1" w:lastRow="0" w:firstColumn="1" w:lastColumn="0" w:noHBand="0" w:noVBand="1"/>
      </w:tblPr>
      <w:tblGrid>
        <w:gridCol w:w="2352"/>
        <w:gridCol w:w="1524"/>
        <w:gridCol w:w="1386"/>
        <w:gridCol w:w="1385"/>
        <w:gridCol w:w="1386"/>
        <w:gridCol w:w="1446"/>
      </w:tblGrid>
      <w:tr w:rsidR="00DF5F92" w:rsidRPr="006739B2" w:rsidTr="00151D52">
        <w:trPr>
          <w:trHeight w:val="328"/>
        </w:trPr>
        <w:tc>
          <w:tcPr>
            <w:tcW w:w="9479" w:type="dxa"/>
            <w:gridSpan w:val="6"/>
          </w:tcPr>
          <w:p w:rsidR="00DF5F92" w:rsidRPr="006739B2" w:rsidRDefault="00DF5F92" w:rsidP="001A4CBF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Продовольственные товары</w:t>
            </w:r>
          </w:p>
        </w:tc>
      </w:tr>
      <w:tr w:rsidR="00DF5F92" w:rsidRPr="006739B2" w:rsidTr="00151D52">
        <w:trPr>
          <w:trHeight w:val="239"/>
        </w:trPr>
        <w:tc>
          <w:tcPr>
            <w:tcW w:w="2352" w:type="dxa"/>
          </w:tcPr>
          <w:p w:rsidR="00DF5F92" w:rsidRPr="006739B2" w:rsidRDefault="00DF5F92" w:rsidP="001A4CBF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 к</w:t>
            </w:r>
          </w:p>
        </w:tc>
        <w:tc>
          <w:tcPr>
            <w:tcW w:w="1524" w:type="dxa"/>
          </w:tcPr>
          <w:p w:rsidR="00DF5F92" w:rsidRPr="006739B2" w:rsidRDefault="00DF5F92" w:rsidP="00DF5F9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2013</w:t>
            </w:r>
          </w:p>
        </w:tc>
        <w:tc>
          <w:tcPr>
            <w:tcW w:w="1386" w:type="dxa"/>
          </w:tcPr>
          <w:p w:rsidR="00DF5F92" w:rsidRPr="006739B2" w:rsidRDefault="00DF5F92" w:rsidP="00DF5F9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2014</w:t>
            </w:r>
          </w:p>
        </w:tc>
        <w:tc>
          <w:tcPr>
            <w:tcW w:w="1385" w:type="dxa"/>
          </w:tcPr>
          <w:p w:rsidR="00DF5F92" w:rsidRPr="006739B2" w:rsidRDefault="00DF5F92" w:rsidP="00DF5F9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2015</w:t>
            </w:r>
          </w:p>
        </w:tc>
        <w:tc>
          <w:tcPr>
            <w:tcW w:w="1386" w:type="dxa"/>
          </w:tcPr>
          <w:p w:rsidR="00DF5F92" w:rsidRPr="006739B2" w:rsidRDefault="00DF5F92" w:rsidP="00DF5F9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2016</w:t>
            </w:r>
          </w:p>
        </w:tc>
        <w:tc>
          <w:tcPr>
            <w:tcW w:w="1443" w:type="dxa"/>
          </w:tcPr>
          <w:p w:rsidR="00DF5F92" w:rsidRPr="006739B2" w:rsidRDefault="00DF5F92" w:rsidP="00DF5F9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2017</w:t>
            </w:r>
          </w:p>
        </w:tc>
      </w:tr>
      <w:tr w:rsidR="00DF5F92" w:rsidRPr="006739B2" w:rsidTr="00151D52">
        <w:trPr>
          <w:trHeight w:val="323"/>
        </w:trPr>
        <w:tc>
          <w:tcPr>
            <w:tcW w:w="2352" w:type="dxa"/>
          </w:tcPr>
          <w:p w:rsidR="00DF5F92" w:rsidRPr="006739B2" w:rsidRDefault="00DF5F92" w:rsidP="00DF5F9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2012</w:t>
            </w:r>
          </w:p>
        </w:tc>
        <w:tc>
          <w:tcPr>
            <w:tcW w:w="1524" w:type="dxa"/>
          </w:tcPr>
          <w:p w:rsidR="00DF5F92" w:rsidRPr="006739B2" w:rsidRDefault="001A4CBF" w:rsidP="001A4CB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108,4</w:t>
            </w:r>
          </w:p>
        </w:tc>
        <w:tc>
          <w:tcPr>
            <w:tcW w:w="1386" w:type="dxa"/>
          </w:tcPr>
          <w:p w:rsidR="00DF5F92" w:rsidRPr="006739B2" w:rsidRDefault="001A4CBF" w:rsidP="001A4CB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119,6</w:t>
            </w:r>
          </w:p>
        </w:tc>
        <w:tc>
          <w:tcPr>
            <w:tcW w:w="1385" w:type="dxa"/>
          </w:tcPr>
          <w:p w:rsidR="00DF5F92" w:rsidRPr="006739B2" w:rsidRDefault="001A4CBF" w:rsidP="001A4CB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129,8</w:t>
            </w:r>
          </w:p>
        </w:tc>
        <w:tc>
          <w:tcPr>
            <w:tcW w:w="1386" w:type="dxa"/>
          </w:tcPr>
          <w:p w:rsidR="00DF5F92" w:rsidRPr="006739B2" w:rsidRDefault="001A4CBF" w:rsidP="001A4CB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143,2</w:t>
            </w:r>
          </w:p>
        </w:tc>
        <w:tc>
          <w:tcPr>
            <w:tcW w:w="1443" w:type="dxa"/>
          </w:tcPr>
          <w:p w:rsidR="00DF5F92" w:rsidRPr="006739B2" w:rsidRDefault="001A4CBF" w:rsidP="001A4CB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157,1</w:t>
            </w:r>
          </w:p>
        </w:tc>
      </w:tr>
      <w:tr w:rsidR="00DF5F92" w:rsidRPr="006739B2" w:rsidTr="00151D52">
        <w:trPr>
          <w:trHeight w:val="306"/>
        </w:trPr>
        <w:tc>
          <w:tcPr>
            <w:tcW w:w="2352" w:type="dxa"/>
          </w:tcPr>
          <w:p w:rsidR="00DF5F92" w:rsidRPr="006739B2" w:rsidRDefault="00DF5F92" w:rsidP="00DF5F9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2013</w:t>
            </w:r>
          </w:p>
        </w:tc>
        <w:tc>
          <w:tcPr>
            <w:tcW w:w="1524" w:type="dxa"/>
          </w:tcPr>
          <w:p w:rsidR="00DF5F92" w:rsidRPr="006739B2" w:rsidRDefault="00DF5F92" w:rsidP="001A4CB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86" w:type="dxa"/>
          </w:tcPr>
          <w:p w:rsidR="00DF5F92" w:rsidRPr="006739B2" w:rsidRDefault="001A4CBF" w:rsidP="001A4CB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110,3</w:t>
            </w:r>
          </w:p>
        </w:tc>
        <w:tc>
          <w:tcPr>
            <w:tcW w:w="1385" w:type="dxa"/>
          </w:tcPr>
          <w:p w:rsidR="00DF5F92" w:rsidRPr="006739B2" w:rsidRDefault="001A4CBF" w:rsidP="001A4CB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119,8</w:t>
            </w:r>
          </w:p>
        </w:tc>
        <w:tc>
          <w:tcPr>
            <w:tcW w:w="1386" w:type="dxa"/>
          </w:tcPr>
          <w:p w:rsidR="00DF5F92" w:rsidRPr="006739B2" w:rsidRDefault="001A4CBF" w:rsidP="001A4CB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132,1</w:t>
            </w:r>
          </w:p>
        </w:tc>
        <w:tc>
          <w:tcPr>
            <w:tcW w:w="1443" w:type="dxa"/>
          </w:tcPr>
          <w:p w:rsidR="00DF5F92" w:rsidRPr="006739B2" w:rsidRDefault="001A4CBF" w:rsidP="001A4CB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144,9</w:t>
            </w:r>
          </w:p>
        </w:tc>
      </w:tr>
      <w:tr w:rsidR="00DF5F92" w:rsidRPr="006739B2" w:rsidTr="00151D52">
        <w:trPr>
          <w:trHeight w:val="323"/>
        </w:trPr>
        <w:tc>
          <w:tcPr>
            <w:tcW w:w="2352" w:type="dxa"/>
          </w:tcPr>
          <w:p w:rsidR="00DF5F92" w:rsidRPr="006739B2" w:rsidRDefault="00DF5F92" w:rsidP="00DF5F9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2014</w:t>
            </w:r>
          </w:p>
        </w:tc>
        <w:tc>
          <w:tcPr>
            <w:tcW w:w="1524" w:type="dxa"/>
          </w:tcPr>
          <w:p w:rsidR="00DF5F92" w:rsidRPr="006739B2" w:rsidRDefault="00DF5F92" w:rsidP="001A4CB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86" w:type="dxa"/>
          </w:tcPr>
          <w:p w:rsidR="00DF5F92" w:rsidRPr="006739B2" w:rsidRDefault="00DF5F92" w:rsidP="001A4CB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85" w:type="dxa"/>
          </w:tcPr>
          <w:p w:rsidR="00DF5F92" w:rsidRPr="006739B2" w:rsidRDefault="001A4CBF" w:rsidP="001A4CB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108,6</w:t>
            </w:r>
          </w:p>
        </w:tc>
        <w:tc>
          <w:tcPr>
            <w:tcW w:w="1386" w:type="dxa"/>
          </w:tcPr>
          <w:p w:rsidR="00DF5F92" w:rsidRPr="006739B2" w:rsidRDefault="001A4CBF" w:rsidP="001A4CB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119,8</w:t>
            </w:r>
          </w:p>
        </w:tc>
        <w:tc>
          <w:tcPr>
            <w:tcW w:w="1443" w:type="dxa"/>
          </w:tcPr>
          <w:p w:rsidR="00DF5F92" w:rsidRPr="006739B2" w:rsidRDefault="001A4CBF" w:rsidP="001A4CB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131,4</w:t>
            </w:r>
          </w:p>
        </w:tc>
      </w:tr>
      <w:tr w:rsidR="00DF5F92" w:rsidRPr="006739B2" w:rsidTr="00151D52">
        <w:trPr>
          <w:trHeight w:val="323"/>
        </w:trPr>
        <w:tc>
          <w:tcPr>
            <w:tcW w:w="2352" w:type="dxa"/>
          </w:tcPr>
          <w:p w:rsidR="00DF5F92" w:rsidRPr="006739B2" w:rsidRDefault="00DF5F92" w:rsidP="00DF5F9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2015</w:t>
            </w:r>
          </w:p>
        </w:tc>
        <w:tc>
          <w:tcPr>
            <w:tcW w:w="1524" w:type="dxa"/>
          </w:tcPr>
          <w:p w:rsidR="00DF5F92" w:rsidRPr="006739B2" w:rsidRDefault="00DF5F92" w:rsidP="001A4CB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86" w:type="dxa"/>
          </w:tcPr>
          <w:p w:rsidR="00DF5F92" w:rsidRPr="006739B2" w:rsidRDefault="00DF5F92" w:rsidP="001A4CB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85" w:type="dxa"/>
          </w:tcPr>
          <w:p w:rsidR="00DF5F92" w:rsidRPr="006739B2" w:rsidRDefault="00DF5F92" w:rsidP="001A4CB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86" w:type="dxa"/>
          </w:tcPr>
          <w:p w:rsidR="00DF5F92" w:rsidRPr="006739B2" w:rsidRDefault="001A4CBF" w:rsidP="001A4CB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110,3</w:t>
            </w:r>
          </w:p>
        </w:tc>
        <w:tc>
          <w:tcPr>
            <w:tcW w:w="1443" w:type="dxa"/>
          </w:tcPr>
          <w:p w:rsidR="00DF5F92" w:rsidRPr="006739B2" w:rsidRDefault="001A4CBF" w:rsidP="001A4CB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121,0</w:t>
            </w:r>
          </w:p>
        </w:tc>
      </w:tr>
      <w:tr w:rsidR="001A4CBF" w:rsidRPr="006739B2" w:rsidTr="00151D52">
        <w:trPr>
          <w:trHeight w:val="323"/>
        </w:trPr>
        <w:tc>
          <w:tcPr>
            <w:tcW w:w="9479" w:type="dxa"/>
            <w:gridSpan w:val="6"/>
          </w:tcPr>
          <w:p w:rsidR="001A4CBF" w:rsidRDefault="001A4CBF" w:rsidP="001A4CB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Непродовольственные товары</w:t>
            </w:r>
          </w:p>
        </w:tc>
      </w:tr>
      <w:tr w:rsidR="001A4CBF" w:rsidRPr="006739B2" w:rsidTr="00151D52">
        <w:trPr>
          <w:trHeight w:val="323"/>
        </w:trPr>
        <w:tc>
          <w:tcPr>
            <w:tcW w:w="2352" w:type="dxa"/>
          </w:tcPr>
          <w:p w:rsidR="001A4CBF" w:rsidRPr="006739B2" w:rsidRDefault="001A4CBF" w:rsidP="001A4CBF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 к</w:t>
            </w:r>
          </w:p>
        </w:tc>
        <w:tc>
          <w:tcPr>
            <w:tcW w:w="1524" w:type="dxa"/>
          </w:tcPr>
          <w:p w:rsidR="001A4CBF" w:rsidRPr="006739B2" w:rsidRDefault="001A4CBF" w:rsidP="001A4CB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2013</w:t>
            </w:r>
          </w:p>
        </w:tc>
        <w:tc>
          <w:tcPr>
            <w:tcW w:w="1386" w:type="dxa"/>
          </w:tcPr>
          <w:p w:rsidR="001A4CBF" w:rsidRPr="006739B2" w:rsidRDefault="001A4CBF" w:rsidP="001A4CB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2014</w:t>
            </w:r>
          </w:p>
        </w:tc>
        <w:tc>
          <w:tcPr>
            <w:tcW w:w="1385" w:type="dxa"/>
          </w:tcPr>
          <w:p w:rsidR="001A4CBF" w:rsidRPr="006739B2" w:rsidRDefault="001A4CBF" w:rsidP="001A4CB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2015</w:t>
            </w:r>
          </w:p>
        </w:tc>
        <w:tc>
          <w:tcPr>
            <w:tcW w:w="1386" w:type="dxa"/>
          </w:tcPr>
          <w:p w:rsidR="001A4CBF" w:rsidRPr="006739B2" w:rsidRDefault="001A4CBF" w:rsidP="001A4CB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2016</w:t>
            </w:r>
          </w:p>
        </w:tc>
        <w:tc>
          <w:tcPr>
            <w:tcW w:w="1443" w:type="dxa"/>
          </w:tcPr>
          <w:p w:rsidR="001A4CBF" w:rsidRPr="006739B2" w:rsidRDefault="001A4CBF" w:rsidP="001A4CB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2017</w:t>
            </w:r>
          </w:p>
        </w:tc>
      </w:tr>
      <w:tr w:rsidR="001A4CBF" w:rsidRPr="006739B2" w:rsidTr="00151D52">
        <w:trPr>
          <w:trHeight w:val="323"/>
        </w:trPr>
        <w:tc>
          <w:tcPr>
            <w:tcW w:w="2352" w:type="dxa"/>
          </w:tcPr>
          <w:p w:rsidR="001A4CBF" w:rsidRPr="006739B2" w:rsidRDefault="001A4CBF" w:rsidP="001A4CB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2012</w:t>
            </w:r>
          </w:p>
        </w:tc>
        <w:tc>
          <w:tcPr>
            <w:tcW w:w="1524" w:type="dxa"/>
          </w:tcPr>
          <w:p w:rsidR="001A4CBF" w:rsidRPr="006739B2" w:rsidRDefault="001A4CBF" w:rsidP="001A4CB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106,7</w:t>
            </w:r>
          </w:p>
        </w:tc>
        <w:tc>
          <w:tcPr>
            <w:tcW w:w="1386" w:type="dxa"/>
          </w:tcPr>
          <w:p w:rsidR="001A4CBF" w:rsidRPr="006739B2" w:rsidRDefault="001A4CBF" w:rsidP="001A4CB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115,4</w:t>
            </w:r>
          </w:p>
        </w:tc>
        <w:tc>
          <w:tcPr>
            <w:tcW w:w="1385" w:type="dxa"/>
          </w:tcPr>
          <w:p w:rsidR="001A4CBF" w:rsidRPr="006739B2" w:rsidRDefault="001A4CBF" w:rsidP="001A4CB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119,6</w:t>
            </w:r>
          </w:p>
        </w:tc>
        <w:tc>
          <w:tcPr>
            <w:tcW w:w="1386" w:type="dxa"/>
          </w:tcPr>
          <w:p w:rsidR="001A4CBF" w:rsidRDefault="001A4CBF" w:rsidP="001A4CB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119,2</w:t>
            </w:r>
          </w:p>
        </w:tc>
        <w:tc>
          <w:tcPr>
            <w:tcW w:w="1443" w:type="dxa"/>
          </w:tcPr>
          <w:p w:rsidR="001A4CBF" w:rsidRDefault="001A4CBF" w:rsidP="001A4CB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121,9</w:t>
            </w:r>
          </w:p>
        </w:tc>
      </w:tr>
      <w:tr w:rsidR="001A4CBF" w:rsidRPr="006739B2" w:rsidTr="00151D52">
        <w:trPr>
          <w:trHeight w:val="323"/>
        </w:trPr>
        <w:tc>
          <w:tcPr>
            <w:tcW w:w="2352" w:type="dxa"/>
          </w:tcPr>
          <w:p w:rsidR="001A4CBF" w:rsidRPr="006739B2" w:rsidRDefault="001A4CBF" w:rsidP="001A4CB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2013</w:t>
            </w:r>
          </w:p>
        </w:tc>
        <w:tc>
          <w:tcPr>
            <w:tcW w:w="1524" w:type="dxa"/>
          </w:tcPr>
          <w:p w:rsidR="001A4CBF" w:rsidRPr="006739B2" w:rsidRDefault="001A4CBF" w:rsidP="001A4CB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86" w:type="dxa"/>
          </w:tcPr>
          <w:p w:rsidR="001A4CBF" w:rsidRPr="006739B2" w:rsidRDefault="001A4CBF" w:rsidP="001A4CB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108,2</w:t>
            </w:r>
          </w:p>
        </w:tc>
        <w:tc>
          <w:tcPr>
            <w:tcW w:w="1385" w:type="dxa"/>
          </w:tcPr>
          <w:p w:rsidR="001A4CBF" w:rsidRPr="006739B2" w:rsidRDefault="001A4CBF" w:rsidP="001A4CB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112,1</w:t>
            </w:r>
          </w:p>
        </w:tc>
        <w:tc>
          <w:tcPr>
            <w:tcW w:w="1386" w:type="dxa"/>
          </w:tcPr>
          <w:p w:rsidR="001A4CBF" w:rsidRDefault="001A4CBF" w:rsidP="001A4CB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111,8</w:t>
            </w:r>
          </w:p>
        </w:tc>
        <w:tc>
          <w:tcPr>
            <w:tcW w:w="1443" w:type="dxa"/>
          </w:tcPr>
          <w:p w:rsidR="001A4CBF" w:rsidRDefault="001A4CBF" w:rsidP="001A4CB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114,2</w:t>
            </w:r>
          </w:p>
        </w:tc>
      </w:tr>
      <w:tr w:rsidR="001A4CBF" w:rsidRPr="006739B2" w:rsidTr="00151D52">
        <w:trPr>
          <w:trHeight w:val="323"/>
        </w:trPr>
        <w:tc>
          <w:tcPr>
            <w:tcW w:w="2352" w:type="dxa"/>
          </w:tcPr>
          <w:p w:rsidR="001A4CBF" w:rsidRPr="006739B2" w:rsidRDefault="001A4CBF" w:rsidP="001A4CB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2014</w:t>
            </w:r>
          </w:p>
        </w:tc>
        <w:tc>
          <w:tcPr>
            <w:tcW w:w="1524" w:type="dxa"/>
          </w:tcPr>
          <w:p w:rsidR="001A4CBF" w:rsidRPr="006739B2" w:rsidRDefault="001A4CBF" w:rsidP="001A4CB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86" w:type="dxa"/>
          </w:tcPr>
          <w:p w:rsidR="001A4CBF" w:rsidRPr="006739B2" w:rsidRDefault="001A4CBF" w:rsidP="001A4CB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85" w:type="dxa"/>
          </w:tcPr>
          <w:p w:rsidR="001A4CBF" w:rsidRPr="006739B2" w:rsidRDefault="001A4CBF" w:rsidP="001A4CB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103,6</w:t>
            </w:r>
          </w:p>
        </w:tc>
        <w:tc>
          <w:tcPr>
            <w:tcW w:w="1386" w:type="dxa"/>
          </w:tcPr>
          <w:p w:rsidR="001A4CBF" w:rsidRDefault="001A4CBF" w:rsidP="001A4CB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103,3</w:t>
            </w:r>
          </w:p>
        </w:tc>
        <w:tc>
          <w:tcPr>
            <w:tcW w:w="1443" w:type="dxa"/>
          </w:tcPr>
          <w:p w:rsidR="001A4CBF" w:rsidRDefault="001A4CBF" w:rsidP="001A4CB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105,6</w:t>
            </w:r>
          </w:p>
        </w:tc>
      </w:tr>
      <w:tr w:rsidR="001A4CBF" w:rsidRPr="006739B2" w:rsidTr="00151D52">
        <w:trPr>
          <w:trHeight w:val="323"/>
        </w:trPr>
        <w:tc>
          <w:tcPr>
            <w:tcW w:w="2352" w:type="dxa"/>
          </w:tcPr>
          <w:p w:rsidR="001A4CBF" w:rsidRPr="006739B2" w:rsidRDefault="001A4CBF" w:rsidP="001A4CB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2015</w:t>
            </w:r>
          </w:p>
        </w:tc>
        <w:tc>
          <w:tcPr>
            <w:tcW w:w="1524" w:type="dxa"/>
          </w:tcPr>
          <w:p w:rsidR="001A4CBF" w:rsidRPr="006739B2" w:rsidRDefault="001A4CBF" w:rsidP="001A4CB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86" w:type="dxa"/>
          </w:tcPr>
          <w:p w:rsidR="001A4CBF" w:rsidRPr="006739B2" w:rsidRDefault="001A4CBF" w:rsidP="001A4CB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85" w:type="dxa"/>
          </w:tcPr>
          <w:p w:rsidR="001A4CBF" w:rsidRPr="006739B2" w:rsidRDefault="001A4CBF" w:rsidP="001A4CB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86" w:type="dxa"/>
          </w:tcPr>
          <w:p w:rsidR="001A4CBF" w:rsidRDefault="001A4CBF" w:rsidP="001A4CB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99,7</w:t>
            </w:r>
          </w:p>
        </w:tc>
        <w:tc>
          <w:tcPr>
            <w:tcW w:w="1443" w:type="dxa"/>
          </w:tcPr>
          <w:p w:rsidR="001A4CBF" w:rsidRDefault="001A4CBF" w:rsidP="001A4CB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101,9</w:t>
            </w:r>
          </w:p>
        </w:tc>
      </w:tr>
    </w:tbl>
    <w:p w:rsidR="00A40E1A" w:rsidRDefault="00D85888" w:rsidP="001A4CBF">
      <w:pPr>
        <w:spacing w:before="24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64C6">
        <w:rPr>
          <w:rFonts w:ascii="Times New Roman" w:hAnsi="Times New Roman" w:cs="Times New Roman"/>
          <w:sz w:val="26"/>
          <w:szCs w:val="26"/>
        </w:rPr>
        <w:t xml:space="preserve">В </w:t>
      </w:r>
      <w:r w:rsidR="00D40577">
        <w:rPr>
          <w:rFonts w:ascii="Times New Roman" w:hAnsi="Times New Roman" w:cs="Times New Roman"/>
          <w:sz w:val="26"/>
          <w:szCs w:val="26"/>
        </w:rPr>
        <w:t>2017г.</w:t>
      </w:r>
      <w:r w:rsidR="0016560D">
        <w:rPr>
          <w:rFonts w:ascii="Times New Roman" w:hAnsi="Times New Roman" w:cs="Times New Roman"/>
          <w:sz w:val="26"/>
          <w:szCs w:val="26"/>
        </w:rPr>
        <w:t xml:space="preserve"> </w:t>
      </w:r>
      <w:r w:rsidR="00A40E1A" w:rsidRPr="001A64C6">
        <w:rPr>
          <w:rFonts w:ascii="Times New Roman" w:hAnsi="Times New Roman" w:cs="Times New Roman"/>
          <w:sz w:val="26"/>
          <w:szCs w:val="26"/>
        </w:rPr>
        <w:t>объем оборота предприятий питания</w:t>
      </w:r>
      <w:r w:rsidR="0016560D">
        <w:rPr>
          <w:rFonts w:ascii="Times New Roman" w:hAnsi="Times New Roman" w:cs="Times New Roman"/>
          <w:sz w:val="26"/>
          <w:szCs w:val="26"/>
        </w:rPr>
        <w:t xml:space="preserve"> </w:t>
      </w:r>
      <w:r w:rsidR="0016560D" w:rsidRPr="001A64C6">
        <w:rPr>
          <w:rFonts w:ascii="Times New Roman" w:hAnsi="Times New Roman" w:cs="Times New Roman"/>
          <w:sz w:val="26"/>
          <w:szCs w:val="26"/>
        </w:rPr>
        <w:t>по сравнению с 2016г</w:t>
      </w:r>
      <w:r w:rsidR="0016560D">
        <w:rPr>
          <w:rFonts w:ascii="Times New Roman" w:hAnsi="Times New Roman" w:cs="Times New Roman"/>
          <w:sz w:val="26"/>
          <w:szCs w:val="26"/>
        </w:rPr>
        <w:t>.</w:t>
      </w:r>
      <w:r w:rsidR="0016560D" w:rsidRPr="001A64C6">
        <w:rPr>
          <w:rFonts w:ascii="Times New Roman" w:hAnsi="Times New Roman" w:cs="Times New Roman"/>
          <w:sz w:val="26"/>
          <w:szCs w:val="26"/>
        </w:rPr>
        <w:t xml:space="preserve"> </w:t>
      </w:r>
      <w:r w:rsidR="00A40E1A" w:rsidRPr="001A64C6">
        <w:rPr>
          <w:rFonts w:ascii="Times New Roman" w:hAnsi="Times New Roman" w:cs="Times New Roman"/>
          <w:sz w:val="26"/>
          <w:szCs w:val="26"/>
        </w:rPr>
        <w:t>увеличил</w:t>
      </w:r>
      <w:r w:rsidR="0047434C">
        <w:rPr>
          <w:rFonts w:ascii="Times New Roman" w:hAnsi="Times New Roman" w:cs="Times New Roman"/>
          <w:sz w:val="26"/>
          <w:szCs w:val="26"/>
        </w:rPr>
        <w:t xml:space="preserve">ся </w:t>
      </w:r>
      <w:r w:rsidR="00A40E1A" w:rsidRPr="001A64C6">
        <w:rPr>
          <w:rFonts w:ascii="Times New Roman" w:hAnsi="Times New Roman" w:cs="Times New Roman"/>
          <w:sz w:val="26"/>
          <w:szCs w:val="26"/>
        </w:rPr>
        <w:t xml:space="preserve">на </w:t>
      </w:r>
      <w:r w:rsidR="008112BD">
        <w:rPr>
          <w:rFonts w:ascii="Times New Roman" w:hAnsi="Times New Roman" w:cs="Times New Roman"/>
          <w:sz w:val="26"/>
          <w:szCs w:val="26"/>
        </w:rPr>
        <w:t>8,8</w:t>
      </w:r>
      <w:r w:rsidR="00A40E1A" w:rsidRPr="001A64C6">
        <w:rPr>
          <w:rFonts w:ascii="Times New Roman" w:hAnsi="Times New Roman" w:cs="Times New Roman"/>
          <w:sz w:val="26"/>
          <w:szCs w:val="26"/>
        </w:rPr>
        <w:t xml:space="preserve"> процента и составил 19</w:t>
      </w:r>
      <w:r w:rsidR="00F0594F">
        <w:rPr>
          <w:rFonts w:ascii="Times New Roman" w:hAnsi="Times New Roman" w:cs="Times New Roman"/>
          <w:sz w:val="26"/>
          <w:szCs w:val="26"/>
        </w:rPr>
        <w:t>,</w:t>
      </w:r>
      <w:r w:rsidR="00A40E1A" w:rsidRPr="001A64C6">
        <w:rPr>
          <w:rFonts w:ascii="Times New Roman" w:hAnsi="Times New Roman" w:cs="Times New Roman"/>
          <w:sz w:val="26"/>
          <w:szCs w:val="26"/>
        </w:rPr>
        <w:t>3</w:t>
      </w:r>
      <w:r w:rsidR="00F0594F">
        <w:rPr>
          <w:rFonts w:ascii="Times New Roman" w:hAnsi="Times New Roman" w:cs="Times New Roman"/>
          <w:sz w:val="26"/>
          <w:szCs w:val="26"/>
        </w:rPr>
        <w:t xml:space="preserve"> </w:t>
      </w:r>
      <w:r w:rsidR="00A40E1A" w:rsidRPr="001A64C6">
        <w:rPr>
          <w:rFonts w:ascii="Times New Roman" w:hAnsi="Times New Roman" w:cs="Times New Roman"/>
          <w:sz w:val="26"/>
          <w:szCs w:val="26"/>
        </w:rPr>
        <w:t>мл</w:t>
      </w:r>
      <w:r w:rsidR="00F0594F">
        <w:rPr>
          <w:rFonts w:ascii="Times New Roman" w:hAnsi="Times New Roman" w:cs="Times New Roman"/>
          <w:sz w:val="26"/>
          <w:szCs w:val="26"/>
        </w:rPr>
        <w:t>рд</w:t>
      </w:r>
      <w:r w:rsidR="00A40E1A" w:rsidRPr="001A64C6">
        <w:rPr>
          <w:rFonts w:ascii="Times New Roman" w:hAnsi="Times New Roman" w:cs="Times New Roman"/>
          <w:sz w:val="26"/>
          <w:szCs w:val="26"/>
        </w:rPr>
        <w:t xml:space="preserve">. сомов, а по сравнению с 2013г. </w:t>
      </w:r>
      <w:r w:rsidR="00D40577">
        <w:rPr>
          <w:rFonts w:ascii="Times New Roman" w:hAnsi="Times New Roman" w:cs="Times New Roman"/>
          <w:sz w:val="26"/>
          <w:szCs w:val="26"/>
        </w:rPr>
        <w:t xml:space="preserve">он повысился </w:t>
      </w:r>
      <w:r w:rsidR="00A40E1A" w:rsidRPr="001A64C6">
        <w:rPr>
          <w:rFonts w:ascii="Times New Roman" w:hAnsi="Times New Roman" w:cs="Times New Roman"/>
          <w:sz w:val="26"/>
          <w:szCs w:val="26"/>
        </w:rPr>
        <w:t xml:space="preserve">- </w:t>
      </w:r>
      <w:r w:rsidR="009C7DC1">
        <w:rPr>
          <w:rFonts w:ascii="Times New Roman" w:hAnsi="Times New Roman" w:cs="Times New Roman"/>
          <w:sz w:val="26"/>
          <w:szCs w:val="26"/>
        </w:rPr>
        <w:t>в 1,</w:t>
      </w:r>
      <w:r w:rsidR="00110FBE">
        <w:rPr>
          <w:rFonts w:ascii="Times New Roman" w:hAnsi="Times New Roman" w:cs="Times New Roman"/>
          <w:sz w:val="26"/>
          <w:szCs w:val="26"/>
        </w:rPr>
        <w:t>6</w:t>
      </w:r>
      <w:r w:rsidR="009C7DC1">
        <w:rPr>
          <w:rFonts w:ascii="Times New Roman" w:hAnsi="Times New Roman" w:cs="Times New Roman"/>
          <w:sz w:val="26"/>
          <w:szCs w:val="26"/>
        </w:rPr>
        <w:t xml:space="preserve"> раза.</w:t>
      </w:r>
      <w:r w:rsidR="00A40E1A" w:rsidRPr="001A64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E1A" w:rsidRDefault="00A40E1A" w:rsidP="005A6145">
      <w:pPr>
        <w:spacing w:after="12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64C6">
        <w:rPr>
          <w:rFonts w:ascii="Times New Roman" w:hAnsi="Times New Roman" w:cs="Times New Roman"/>
          <w:sz w:val="26"/>
          <w:szCs w:val="26"/>
        </w:rPr>
        <w:t xml:space="preserve">Рост объемов оборота предприятий питания в 2017г. по сравнению с 2016г. обеспечен всеми регионами республики. </w:t>
      </w:r>
    </w:p>
    <w:p w:rsidR="00DF3F78" w:rsidRPr="001A64C6" w:rsidRDefault="00DF3F78" w:rsidP="00107083">
      <w:pPr>
        <w:spacing w:before="120" w:after="40"/>
        <w:ind w:left="1304" w:hanging="1304"/>
        <w:rPr>
          <w:rFonts w:ascii="Times New Roman" w:hAnsi="Times New Roman" w:cs="Times New Roman"/>
          <w:b/>
          <w:sz w:val="26"/>
          <w:szCs w:val="26"/>
        </w:rPr>
      </w:pPr>
      <w:r w:rsidRPr="001A64C6"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EB0FB0">
        <w:rPr>
          <w:rFonts w:ascii="Times New Roman" w:hAnsi="Times New Roman" w:cs="Times New Roman"/>
          <w:b/>
          <w:sz w:val="26"/>
          <w:szCs w:val="26"/>
        </w:rPr>
        <w:t>2</w:t>
      </w:r>
      <w:r w:rsidRPr="001A64C6">
        <w:rPr>
          <w:rFonts w:ascii="Times New Roman" w:hAnsi="Times New Roman" w:cs="Times New Roman"/>
          <w:b/>
          <w:sz w:val="26"/>
          <w:szCs w:val="26"/>
        </w:rPr>
        <w:t>. Объем оборота предприятий питания</w:t>
      </w:r>
      <w:r w:rsidR="000058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64C6">
        <w:rPr>
          <w:rFonts w:ascii="Times New Roman" w:hAnsi="Times New Roman" w:cs="Times New Roman"/>
          <w:b/>
          <w:sz w:val="26"/>
          <w:szCs w:val="26"/>
        </w:rPr>
        <w:t>по территории</w:t>
      </w:r>
      <w:r w:rsidR="001F5038" w:rsidRPr="001A64C6">
        <w:rPr>
          <w:rFonts w:ascii="Times New Roman" w:hAnsi="Times New Roman" w:cs="Times New Roman"/>
          <w:b/>
          <w:sz w:val="26"/>
          <w:szCs w:val="26"/>
        </w:rPr>
        <w:t xml:space="preserve"> в 2017г.</w:t>
      </w:r>
    </w:p>
    <w:tbl>
      <w:tblPr>
        <w:tblStyle w:val="a7"/>
        <w:tblpPr w:leftFromText="180" w:rightFromText="180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1559"/>
        <w:gridCol w:w="1560"/>
        <w:gridCol w:w="1552"/>
      </w:tblGrid>
      <w:tr w:rsidR="0016560D" w:rsidRPr="0027656C" w:rsidTr="006F0267">
        <w:tc>
          <w:tcPr>
            <w:tcW w:w="3256" w:type="dxa"/>
            <w:vMerge w:val="restart"/>
          </w:tcPr>
          <w:p w:rsidR="0016560D" w:rsidRPr="0027656C" w:rsidRDefault="0016560D" w:rsidP="0016560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gridSpan w:val="2"/>
          </w:tcPr>
          <w:p w:rsidR="0016560D" w:rsidRPr="0027656C" w:rsidRDefault="0016560D" w:rsidP="001656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56C">
              <w:rPr>
                <w:rFonts w:ascii="Times New Roman" w:hAnsi="Times New Roman" w:cs="Times New Roman"/>
                <w:b/>
              </w:rPr>
              <w:t>Млн. сомов</w:t>
            </w:r>
          </w:p>
        </w:tc>
        <w:tc>
          <w:tcPr>
            <w:tcW w:w="3112" w:type="dxa"/>
            <w:gridSpan w:val="2"/>
          </w:tcPr>
          <w:p w:rsidR="0016560D" w:rsidRDefault="0016560D" w:rsidP="001656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56C">
              <w:rPr>
                <w:rFonts w:ascii="Times New Roman" w:hAnsi="Times New Roman" w:cs="Times New Roman"/>
                <w:b/>
              </w:rPr>
              <w:t>В процентах</w:t>
            </w:r>
          </w:p>
          <w:p w:rsidR="0016560D" w:rsidRPr="0027656C" w:rsidRDefault="0016560D" w:rsidP="0016560D">
            <w:pPr>
              <w:jc w:val="center"/>
              <w:rPr>
                <w:rFonts w:ascii="Times New Roman" w:hAnsi="Times New Roman" w:cs="Times New Roman"/>
              </w:rPr>
            </w:pPr>
            <w:r w:rsidRPr="0027656C">
              <w:rPr>
                <w:rFonts w:ascii="Times New Roman" w:hAnsi="Times New Roman" w:cs="Times New Roman"/>
                <w:b/>
              </w:rPr>
              <w:t>к предыдущем</w:t>
            </w:r>
            <w:r w:rsidRPr="0027656C">
              <w:rPr>
                <w:rFonts w:ascii="Times New Roman" w:hAnsi="Times New Roman" w:cs="Times New Roman"/>
                <w:b/>
                <w:lang w:val="ky-KG"/>
              </w:rPr>
              <w:t>у</w:t>
            </w:r>
            <w:r w:rsidRPr="0027656C">
              <w:rPr>
                <w:rFonts w:ascii="Times New Roman" w:hAnsi="Times New Roman" w:cs="Times New Roman"/>
                <w:b/>
              </w:rPr>
              <w:t xml:space="preserve"> году</w:t>
            </w:r>
          </w:p>
        </w:tc>
      </w:tr>
      <w:tr w:rsidR="0016560D" w:rsidRPr="0027656C" w:rsidTr="006F0267">
        <w:tc>
          <w:tcPr>
            <w:tcW w:w="32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0D" w:rsidRPr="0027656C" w:rsidRDefault="0016560D" w:rsidP="0016560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D" w:rsidRPr="0027656C" w:rsidRDefault="0016560D" w:rsidP="0016560D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27656C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D" w:rsidRPr="0027656C" w:rsidRDefault="0016560D" w:rsidP="0016560D">
            <w:pPr>
              <w:spacing w:before="20" w:after="20"/>
              <w:ind w:right="284"/>
              <w:jc w:val="center"/>
              <w:rPr>
                <w:rFonts w:ascii="Times New Roman" w:hAnsi="Times New Roman" w:cs="Times New Roman"/>
                <w:b/>
              </w:rPr>
            </w:pPr>
            <w:r w:rsidRPr="0027656C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D" w:rsidRPr="0027656C" w:rsidRDefault="0016560D" w:rsidP="0016560D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27656C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D" w:rsidRPr="0027656C" w:rsidRDefault="0016560D" w:rsidP="0016560D">
            <w:pPr>
              <w:spacing w:before="20" w:after="20"/>
              <w:ind w:right="284"/>
              <w:jc w:val="center"/>
              <w:rPr>
                <w:rFonts w:ascii="Times New Roman" w:hAnsi="Times New Roman" w:cs="Times New Roman"/>
                <w:b/>
              </w:rPr>
            </w:pPr>
            <w:r w:rsidRPr="0027656C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16560D" w:rsidRPr="0027656C" w:rsidTr="006F0267">
        <w:trPr>
          <w:trHeight w:hRule="exact" w:val="284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7656C">
              <w:rPr>
                <w:rFonts w:ascii="Times New Roman" w:hAnsi="Times New Roman" w:cs="Times New Roman"/>
                <w:b/>
              </w:rPr>
              <w:t>Кыргызская</w:t>
            </w:r>
            <w:proofErr w:type="spellEnd"/>
            <w:r w:rsidRPr="0027656C">
              <w:rPr>
                <w:rFonts w:ascii="Times New Roman" w:hAnsi="Times New Roman" w:cs="Times New Roman"/>
                <w:b/>
              </w:rPr>
              <w:t xml:space="preserve"> Республика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12369,5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7656C">
              <w:rPr>
                <w:rFonts w:ascii="Times New Roman" w:hAnsi="Times New Roman" w:cs="Times New Roman"/>
                <w:b/>
              </w:rPr>
              <w:t>19307,7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7656C">
              <w:rPr>
                <w:rFonts w:ascii="Times New Roman" w:hAnsi="Times New Roman" w:cs="Times New Roman"/>
                <w:b/>
              </w:rPr>
              <w:t>108,8</w:t>
            </w:r>
          </w:p>
        </w:tc>
      </w:tr>
      <w:tr w:rsidR="0016560D" w:rsidRPr="0027656C" w:rsidTr="006F0267">
        <w:trPr>
          <w:trHeight w:hRule="exact" w:val="28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both"/>
              <w:rPr>
                <w:rFonts w:ascii="Times New Roman" w:hAnsi="Times New Roman" w:cs="Times New Roman"/>
              </w:rPr>
            </w:pPr>
            <w:r w:rsidRPr="00276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56C">
              <w:rPr>
                <w:rFonts w:ascii="Times New Roman" w:hAnsi="Times New Roman" w:cs="Times New Roman"/>
              </w:rPr>
              <w:t>Баткенская</w:t>
            </w:r>
            <w:proofErr w:type="spellEnd"/>
            <w:r w:rsidRPr="0027656C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right"/>
              <w:rPr>
                <w:rFonts w:ascii="Times New Roman" w:hAnsi="Times New Roman" w:cs="Times New Roman"/>
              </w:rPr>
            </w:pPr>
            <w:r w:rsidRPr="0027656C">
              <w:rPr>
                <w:rFonts w:ascii="Times New Roman" w:hAnsi="Times New Roman" w:cs="Times New Roman"/>
              </w:rPr>
              <w:t>942,4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right"/>
              <w:rPr>
                <w:rFonts w:ascii="Times New Roman" w:hAnsi="Times New Roman" w:cs="Times New Roman"/>
              </w:rPr>
            </w:pPr>
            <w:r w:rsidRPr="0027656C">
              <w:rPr>
                <w:rFonts w:ascii="Times New Roman" w:hAnsi="Times New Roman" w:cs="Times New Roman"/>
              </w:rPr>
              <w:t>112,0</w:t>
            </w:r>
          </w:p>
        </w:tc>
      </w:tr>
      <w:tr w:rsidR="0016560D" w:rsidRPr="0027656C" w:rsidTr="006F0267">
        <w:trPr>
          <w:trHeight w:hRule="exact" w:val="28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both"/>
              <w:rPr>
                <w:rFonts w:ascii="Times New Roman" w:hAnsi="Times New Roman" w:cs="Times New Roman"/>
              </w:rPr>
            </w:pPr>
            <w:r w:rsidRPr="00276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56C">
              <w:rPr>
                <w:rFonts w:ascii="Times New Roman" w:hAnsi="Times New Roman" w:cs="Times New Roman"/>
              </w:rPr>
              <w:t>Джалал-Абадская</w:t>
            </w:r>
            <w:proofErr w:type="spellEnd"/>
            <w:r w:rsidRPr="0027656C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right"/>
              <w:rPr>
                <w:rFonts w:ascii="Times New Roman" w:hAnsi="Times New Roman" w:cs="Times New Roman"/>
              </w:rPr>
            </w:pPr>
            <w:r w:rsidRPr="0027656C">
              <w:rPr>
                <w:rFonts w:ascii="Times New Roman" w:hAnsi="Times New Roman" w:cs="Times New Roman"/>
              </w:rPr>
              <w:t>2739,5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right"/>
              <w:rPr>
                <w:rFonts w:ascii="Times New Roman" w:hAnsi="Times New Roman" w:cs="Times New Roman"/>
              </w:rPr>
            </w:pPr>
            <w:r w:rsidRPr="0027656C">
              <w:rPr>
                <w:rFonts w:ascii="Times New Roman" w:hAnsi="Times New Roman" w:cs="Times New Roman"/>
              </w:rPr>
              <w:t>105,7</w:t>
            </w:r>
          </w:p>
        </w:tc>
      </w:tr>
      <w:tr w:rsidR="0016560D" w:rsidRPr="0027656C" w:rsidTr="006F0267">
        <w:trPr>
          <w:trHeight w:hRule="exact" w:val="28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both"/>
              <w:rPr>
                <w:rFonts w:ascii="Times New Roman" w:hAnsi="Times New Roman" w:cs="Times New Roman"/>
              </w:rPr>
            </w:pPr>
            <w:r w:rsidRPr="00276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56C">
              <w:rPr>
                <w:rFonts w:ascii="Times New Roman" w:hAnsi="Times New Roman" w:cs="Times New Roman"/>
              </w:rPr>
              <w:t>Ис</w:t>
            </w:r>
            <w:proofErr w:type="spellEnd"/>
            <w:r w:rsidRPr="0027656C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27656C">
              <w:rPr>
                <w:rFonts w:ascii="Times New Roman" w:hAnsi="Times New Roman" w:cs="Times New Roman"/>
              </w:rPr>
              <w:t>ык-Кульская</w:t>
            </w:r>
            <w:proofErr w:type="spellEnd"/>
            <w:r w:rsidRPr="0027656C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right"/>
              <w:rPr>
                <w:rFonts w:ascii="Times New Roman" w:hAnsi="Times New Roman" w:cs="Times New Roman"/>
              </w:rPr>
            </w:pPr>
            <w:r w:rsidRPr="0027656C">
              <w:rPr>
                <w:rFonts w:ascii="Times New Roman" w:hAnsi="Times New Roman" w:cs="Times New Roman"/>
              </w:rPr>
              <w:t>521,5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right"/>
              <w:rPr>
                <w:rFonts w:ascii="Times New Roman" w:hAnsi="Times New Roman" w:cs="Times New Roman"/>
              </w:rPr>
            </w:pPr>
            <w:r w:rsidRPr="0027656C">
              <w:rPr>
                <w:rFonts w:ascii="Times New Roman" w:hAnsi="Times New Roman" w:cs="Times New Roman"/>
              </w:rPr>
              <w:t>102,2</w:t>
            </w:r>
          </w:p>
        </w:tc>
      </w:tr>
      <w:tr w:rsidR="0016560D" w:rsidRPr="0027656C" w:rsidTr="006F0267">
        <w:trPr>
          <w:trHeight w:hRule="exact" w:val="28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both"/>
              <w:rPr>
                <w:rFonts w:ascii="Times New Roman" w:hAnsi="Times New Roman" w:cs="Times New Roman"/>
              </w:rPr>
            </w:pPr>
            <w:r w:rsidRPr="00276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56C">
              <w:rPr>
                <w:rFonts w:ascii="Times New Roman" w:hAnsi="Times New Roman" w:cs="Times New Roman"/>
              </w:rPr>
              <w:t>Нарынская</w:t>
            </w:r>
            <w:proofErr w:type="spellEnd"/>
            <w:r w:rsidRPr="0027656C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right"/>
              <w:rPr>
                <w:rFonts w:ascii="Times New Roman" w:hAnsi="Times New Roman" w:cs="Times New Roman"/>
              </w:rPr>
            </w:pPr>
            <w:r w:rsidRPr="0027656C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right"/>
              <w:rPr>
                <w:rFonts w:ascii="Times New Roman" w:hAnsi="Times New Roman" w:cs="Times New Roman"/>
              </w:rPr>
            </w:pPr>
            <w:r w:rsidRPr="0027656C">
              <w:rPr>
                <w:rFonts w:ascii="Times New Roman" w:hAnsi="Times New Roman" w:cs="Times New Roman"/>
              </w:rPr>
              <w:t>104,3</w:t>
            </w:r>
          </w:p>
        </w:tc>
      </w:tr>
      <w:tr w:rsidR="0016560D" w:rsidRPr="0027656C" w:rsidTr="006F0267">
        <w:trPr>
          <w:trHeight w:hRule="exact" w:val="28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both"/>
              <w:rPr>
                <w:rFonts w:ascii="Times New Roman" w:hAnsi="Times New Roman" w:cs="Times New Roman"/>
              </w:rPr>
            </w:pPr>
            <w:r w:rsidRPr="00276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56C">
              <w:rPr>
                <w:rFonts w:ascii="Times New Roman" w:hAnsi="Times New Roman" w:cs="Times New Roman"/>
              </w:rPr>
              <w:t>Ошская</w:t>
            </w:r>
            <w:proofErr w:type="spellEnd"/>
            <w:r w:rsidRPr="0027656C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right"/>
              <w:rPr>
                <w:rFonts w:ascii="Times New Roman" w:hAnsi="Times New Roman" w:cs="Times New Roman"/>
              </w:rPr>
            </w:pPr>
            <w:r w:rsidRPr="0027656C">
              <w:rPr>
                <w:rFonts w:ascii="Times New Roman" w:hAnsi="Times New Roman" w:cs="Times New Roman"/>
              </w:rPr>
              <w:t>1073,0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right"/>
              <w:rPr>
                <w:rFonts w:ascii="Times New Roman" w:hAnsi="Times New Roman" w:cs="Times New Roman"/>
              </w:rPr>
            </w:pPr>
            <w:r w:rsidRPr="0027656C">
              <w:rPr>
                <w:rFonts w:ascii="Times New Roman" w:hAnsi="Times New Roman" w:cs="Times New Roman"/>
              </w:rPr>
              <w:t>103,8</w:t>
            </w:r>
          </w:p>
        </w:tc>
      </w:tr>
      <w:tr w:rsidR="0016560D" w:rsidRPr="0027656C" w:rsidTr="006F0267">
        <w:trPr>
          <w:trHeight w:hRule="exact" w:val="28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both"/>
              <w:rPr>
                <w:rFonts w:ascii="Times New Roman" w:hAnsi="Times New Roman" w:cs="Times New Roman"/>
              </w:rPr>
            </w:pPr>
            <w:r w:rsidRPr="00276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56C">
              <w:rPr>
                <w:rFonts w:ascii="Times New Roman" w:hAnsi="Times New Roman" w:cs="Times New Roman"/>
              </w:rPr>
              <w:t>Таласская</w:t>
            </w:r>
            <w:proofErr w:type="spellEnd"/>
            <w:r w:rsidRPr="0027656C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right"/>
              <w:rPr>
                <w:rFonts w:ascii="Times New Roman" w:hAnsi="Times New Roman" w:cs="Times New Roman"/>
              </w:rPr>
            </w:pPr>
            <w:r w:rsidRPr="0027656C">
              <w:rPr>
                <w:rFonts w:ascii="Times New Roman" w:hAnsi="Times New Roman" w:cs="Times New Roman"/>
              </w:rPr>
              <w:t>230,9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right"/>
              <w:rPr>
                <w:rFonts w:ascii="Times New Roman" w:hAnsi="Times New Roman" w:cs="Times New Roman"/>
              </w:rPr>
            </w:pPr>
            <w:r w:rsidRPr="0027656C">
              <w:rPr>
                <w:rFonts w:ascii="Times New Roman" w:hAnsi="Times New Roman" w:cs="Times New Roman"/>
              </w:rPr>
              <w:t>106,3</w:t>
            </w:r>
          </w:p>
        </w:tc>
      </w:tr>
      <w:tr w:rsidR="0016560D" w:rsidRPr="0027656C" w:rsidTr="006F0267">
        <w:trPr>
          <w:trHeight w:hRule="exact" w:val="28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both"/>
              <w:rPr>
                <w:rFonts w:ascii="Times New Roman" w:hAnsi="Times New Roman" w:cs="Times New Roman"/>
              </w:rPr>
            </w:pPr>
            <w:r w:rsidRPr="0027656C">
              <w:rPr>
                <w:rFonts w:ascii="Times New Roman" w:hAnsi="Times New Roman" w:cs="Times New Roman"/>
              </w:rPr>
              <w:t xml:space="preserve"> Чуйская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right"/>
              <w:rPr>
                <w:rFonts w:ascii="Times New Roman" w:hAnsi="Times New Roman" w:cs="Times New Roman"/>
              </w:rPr>
            </w:pPr>
            <w:r w:rsidRPr="0027656C">
              <w:rPr>
                <w:rFonts w:ascii="Times New Roman" w:hAnsi="Times New Roman" w:cs="Times New Roman"/>
              </w:rPr>
              <w:t>1317,4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right"/>
              <w:rPr>
                <w:rFonts w:ascii="Times New Roman" w:hAnsi="Times New Roman" w:cs="Times New Roman"/>
              </w:rPr>
            </w:pPr>
            <w:r w:rsidRPr="0027656C">
              <w:rPr>
                <w:rFonts w:ascii="Times New Roman" w:hAnsi="Times New Roman" w:cs="Times New Roman"/>
              </w:rPr>
              <w:t>103,0</w:t>
            </w:r>
          </w:p>
        </w:tc>
      </w:tr>
      <w:tr w:rsidR="0016560D" w:rsidRPr="0027656C" w:rsidTr="006F0267">
        <w:trPr>
          <w:trHeight w:hRule="exact" w:val="28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both"/>
              <w:rPr>
                <w:rFonts w:ascii="Times New Roman" w:hAnsi="Times New Roman" w:cs="Times New Roman"/>
              </w:rPr>
            </w:pPr>
            <w:r w:rsidRPr="0027656C">
              <w:rPr>
                <w:rFonts w:ascii="Times New Roman" w:hAnsi="Times New Roman" w:cs="Times New Roman"/>
              </w:rPr>
              <w:t xml:space="preserve"> г. Бишкек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right"/>
              <w:rPr>
                <w:rFonts w:ascii="Times New Roman" w:hAnsi="Times New Roman" w:cs="Times New Roman"/>
              </w:rPr>
            </w:pPr>
            <w:r w:rsidRPr="0027656C">
              <w:rPr>
                <w:rFonts w:ascii="Times New Roman" w:hAnsi="Times New Roman" w:cs="Times New Roman"/>
              </w:rPr>
              <w:t>10101,2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right"/>
              <w:rPr>
                <w:rFonts w:ascii="Times New Roman" w:hAnsi="Times New Roman" w:cs="Times New Roman"/>
              </w:rPr>
            </w:pPr>
            <w:r w:rsidRPr="0027656C">
              <w:rPr>
                <w:rFonts w:ascii="Times New Roman" w:hAnsi="Times New Roman" w:cs="Times New Roman"/>
              </w:rPr>
              <w:t>110,7</w:t>
            </w:r>
          </w:p>
        </w:tc>
      </w:tr>
      <w:tr w:rsidR="0016560D" w:rsidRPr="0027656C" w:rsidTr="006F0267">
        <w:trPr>
          <w:trHeight w:hRule="exact" w:val="284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60D" w:rsidRPr="0027656C" w:rsidRDefault="0016560D" w:rsidP="0016560D">
            <w:pPr>
              <w:jc w:val="both"/>
              <w:rPr>
                <w:rFonts w:ascii="Times New Roman" w:hAnsi="Times New Roman" w:cs="Times New Roman"/>
              </w:rPr>
            </w:pPr>
            <w:r w:rsidRPr="0027656C">
              <w:rPr>
                <w:rFonts w:ascii="Times New Roman" w:hAnsi="Times New Roman" w:cs="Times New Roman"/>
              </w:rPr>
              <w:t xml:space="preserve"> г. 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60D" w:rsidRPr="0027656C" w:rsidRDefault="0016560D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60D" w:rsidRPr="0027656C" w:rsidRDefault="0016560D" w:rsidP="0016560D">
            <w:pPr>
              <w:jc w:val="right"/>
              <w:rPr>
                <w:rFonts w:ascii="Times New Roman" w:hAnsi="Times New Roman" w:cs="Times New Roman"/>
              </w:rPr>
            </w:pPr>
            <w:r w:rsidRPr="0027656C">
              <w:rPr>
                <w:rFonts w:ascii="Times New Roman" w:hAnsi="Times New Roman" w:cs="Times New Roman"/>
              </w:rPr>
              <w:t>2305,2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60D" w:rsidRPr="0027656C" w:rsidRDefault="0016560D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60D" w:rsidRPr="0027656C" w:rsidRDefault="0016560D" w:rsidP="0016560D">
            <w:pPr>
              <w:jc w:val="right"/>
              <w:rPr>
                <w:rFonts w:ascii="Times New Roman" w:hAnsi="Times New Roman" w:cs="Times New Roman"/>
              </w:rPr>
            </w:pPr>
            <w:r w:rsidRPr="0027656C">
              <w:rPr>
                <w:rFonts w:ascii="Times New Roman" w:hAnsi="Times New Roman" w:cs="Times New Roman"/>
              </w:rPr>
              <w:t>110,5</w:t>
            </w:r>
          </w:p>
        </w:tc>
      </w:tr>
    </w:tbl>
    <w:p w:rsidR="00A40E1A" w:rsidRPr="001A64C6" w:rsidRDefault="00A40E1A" w:rsidP="00A673D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66E2E" w:rsidRPr="001A64C6" w:rsidRDefault="007E5108" w:rsidP="001A64C6">
      <w:pPr>
        <w:spacing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64C6">
        <w:rPr>
          <w:rFonts w:ascii="Times New Roman" w:hAnsi="Times New Roman" w:cs="Times New Roman"/>
          <w:sz w:val="26"/>
          <w:szCs w:val="26"/>
        </w:rPr>
        <w:t xml:space="preserve">В 2017г. </w:t>
      </w:r>
      <w:r w:rsidR="00220003" w:rsidRPr="001A64C6">
        <w:rPr>
          <w:rFonts w:ascii="Times New Roman" w:hAnsi="Times New Roman" w:cs="Times New Roman"/>
          <w:sz w:val="26"/>
          <w:szCs w:val="26"/>
        </w:rPr>
        <w:t>о</w:t>
      </w:r>
      <w:r w:rsidR="00B66E2E" w:rsidRPr="001A64C6">
        <w:rPr>
          <w:rFonts w:ascii="Times New Roman" w:hAnsi="Times New Roman" w:cs="Times New Roman"/>
          <w:sz w:val="26"/>
          <w:szCs w:val="26"/>
        </w:rPr>
        <w:t>бъем оборота розничной торговли</w:t>
      </w:r>
      <w:r w:rsidR="005A6145">
        <w:rPr>
          <w:rFonts w:ascii="Times New Roman" w:hAnsi="Times New Roman" w:cs="Times New Roman"/>
          <w:sz w:val="26"/>
          <w:szCs w:val="26"/>
        </w:rPr>
        <w:t xml:space="preserve">, </w:t>
      </w:r>
      <w:r w:rsidR="00B66E2E" w:rsidRPr="001A64C6">
        <w:rPr>
          <w:rFonts w:ascii="Times New Roman" w:hAnsi="Times New Roman" w:cs="Times New Roman"/>
          <w:sz w:val="26"/>
          <w:szCs w:val="26"/>
        </w:rPr>
        <w:t>в целом по республике в расчете на душу населения составил 5</w:t>
      </w:r>
      <w:r w:rsidR="00220003" w:rsidRPr="001A64C6">
        <w:rPr>
          <w:rFonts w:ascii="Times New Roman" w:hAnsi="Times New Roman" w:cs="Times New Roman"/>
          <w:sz w:val="26"/>
          <w:szCs w:val="26"/>
        </w:rPr>
        <w:t>9</w:t>
      </w:r>
      <w:r w:rsidR="00B66E2E" w:rsidRPr="001A64C6">
        <w:rPr>
          <w:rFonts w:ascii="Times New Roman" w:hAnsi="Times New Roman" w:cs="Times New Roman"/>
          <w:sz w:val="26"/>
          <w:szCs w:val="26"/>
        </w:rPr>
        <w:t>,</w:t>
      </w:r>
      <w:r w:rsidR="00220003" w:rsidRPr="001A64C6">
        <w:rPr>
          <w:rFonts w:ascii="Times New Roman" w:hAnsi="Times New Roman" w:cs="Times New Roman"/>
          <w:sz w:val="26"/>
          <w:szCs w:val="26"/>
        </w:rPr>
        <w:t>9</w:t>
      </w:r>
      <w:r w:rsidR="00B66E2E" w:rsidRPr="001A64C6">
        <w:rPr>
          <w:rFonts w:ascii="Times New Roman" w:hAnsi="Times New Roman" w:cs="Times New Roman"/>
          <w:sz w:val="26"/>
          <w:szCs w:val="26"/>
        </w:rPr>
        <w:t xml:space="preserve"> тыс. сомов, что на 7,</w:t>
      </w:r>
      <w:r w:rsidR="00220003" w:rsidRPr="001A64C6">
        <w:rPr>
          <w:rFonts w:ascii="Times New Roman" w:hAnsi="Times New Roman" w:cs="Times New Roman"/>
          <w:sz w:val="26"/>
          <w:szCs w:val="26"/>
        </w:rPr>
        <w:t>5</w:t>
      </w:r>
      <w:r w:rsidR="00B66E2E" w:rsidRPr="001A64C6">
        <w:rPr>
          <w:rFonts w:ascii="Times New Roman" w:hAnsi="Times New Roman" w:cs="Times New Roman"/>
          <w:sz w:val="26"/>
          <w:szCs w:val="26"/>
        </w:rPr>
        <w:t xml:space="preserve"> процента больше уровня 2016г. (5</w:t>
      </w:r>
      <w:r w:rsidR="00220003" w:rsidRPr="001A64C6">
        <w:rPr>
          <w:rFonts w:ascii="Times New Roman" w:hAnsi="Times New Roman" w:cs="Times New Roman"/>
          <w:sz w:val="26"/>
          <w:szCs w:val="26"/>
        </w:rPr>
        <w:t>5</w:t>
      </w:r>
      <w:r w:rsidR="00B66E2E" w:rsidRPr="001A64C6">
        <w:rPr>
          <w:rFonts w:ascii="Times New Roman" w:hAnsi="Times New Roman" w:cs="Times New Roman"/>
          <w:sz w:val="26"/>
          <w:szCs w:val="26"/>
        </w:rPr>
        <w:t>,7 тыс. сомов).</w:t>
      </w:r>
      <w:r w:rsidR="004A72D3" w:rsidRPr="001A64C6">
        <w:rPr>
          <w:rFonts w:ascii="Times New Roman" w:hAnsi="Times New Roman" w:cs="Times New Roman"/>
          <w:sz w:val="26"/>
          <w:szCs w:val="26"/>
        </w:rPr>
        <w:t xml:space="preserve"> При этом, расходы населения на приобретение потребительских товаров по регионам различны. Так, если в г.</w:t>
      </w:r>
      <w:r w:rsidR="00304711" w:rsidRPr="001A64C6">
        <w:rPr>
          <w:rFonts w:ascii="Times New Roman" w:hAnsi="Times New Roman" w:cs="Times New Roman"/>
          <w:sz w:val="26"/>
          <w:szCs w:val="26"/>
        </w:rPr>
        <w:t xml:space="preserve"> </w:t>
      </w:r>
      <w:r w:rsidR="004A72D3" w:rsidRPr="001A64C6">
        <w:rPr>
          <w:rFonts w:ascii="Times New Roman" w:hAnsi="Times New Roman" w:cs="Times New Roman"/>
          <w:sz w:val="26"/>
          <w:szCs w:val="26"/>
        </w:rPr>
        <w:t>Ош объемы оборота розничной торговли на душу населения превысили среднереспубликанский показатель в 2,</w:t>
      </w:r>
      <w:r w:rsidR="00304711" w:rsidRPr="001A64C6">
        <w:rPr>
          <w:rFonts w:ascii="Times New Roman" w:hAnsi="Times New Roman" w:cs="Times New Roman"/>
          <w:sz w:val="26"/>
          <w:szCs w:val="26"/>
        </w:rPr>
        <w:t xml:space="preserve">2 </w:t>
      </w:r>
      <w:r w:rsidR="004A72D3" w:rsidRPr="001A64C6">
        <w:rPr>
          <w:rFonts w:ascii="Times New Roman" w:hAnsi="Times New Roman" w:cs="Times New Roman"/>
          <w:sz w:val="26"/>
          <w:szCs w:val="26"/>
        </w:rPr>
        <w:t>раза, г. Бишкек – в 2,</w:t>
      </w:r>
      <w:r w:rsidR="00304711" w:rsidRPr="001A64C6">
        <w:rPr>
          <w:rFonts w:ascii="Times New Roman" w:hAnsi="Times New Roman" w:cs="Times New Roman"/>
          <w:sz w:val="26"/>
          <w:szCs w:val="26"/>
        </w:rPr>
        <w:t>1</w:t>
      </w:r>
      <w:r w:rsidR="004A72D3" w:rsidRPr="001A64C6">
        <w:rPr>
          <w:rFonts w:ascii="Times New Roman" w:hAnsi="Times New Roman" w:cs="Times New Roman"/>
          <w:sz w:val="26"/>
          <w:szCs w:val="26"/>
        </w:rPr>
        <w:t xml:space="preserve"> раза,</w:t>
      </w:r>
      <w:r w:rsidR="00220003" w:rsidRPr="001A64C6">
        <w:rPr>
          <w:rFonts w:ascii="Times New Roman" w:hAnsi="Times New Roman" w:cs="Times New Roman"/>
          <w:sz w:val="26"/>
          <w:szCs w:val="26"/>
        </w:rPr>
        <w:t xml:space="preserve"> то в</w:t>
      </w:r>
      <w:r w:rsidR="00304711" w:rsidRPr="001A64C6">
        <w:rPr>
          <w:rFonts w:ascii="Times New Roman" w:hAnsi="Times New Roman" w:cs="Times New Roman"/>
          <w:sz w:val="26"/>
          <w:szCs w:val="26"/>
        </w:rPr>
        <w:t xml:space="preserve"> Ошской </w:t>
      </w:r>
      <w:r w:rsidR="00220003" w:rsidRPr="001A64C6">
        <w:rPr>
          <w:rFonts w:ascii="Times New Roman" w:hAnsi="Times New Roman" w:cs="Times New Roman"/>
          <w:sz w:val="26"/>
          <w:szCs w:val="26"/>
        </w:rPr>
        <w:t>области, напротив, этот показатель ниже среднереспубликанского в 2,</w:t>
      </w:r>
      <w:r w:rsidR="00304711" w:rsidRPr="001A64C6">
        <w:rPr>
          <w:rFonts w:ascii="Times New Roman" w:hAnsi="Times New Roman" w:cs="Times New Roman"/>
          <w:sz w:val="26"/>
          <w:szCs w:val="26"/>
        </w:rPr>
        <w:t>3</w:t>
      </w:r>
      <w:r w:rsidR="00220003" w:rsidRPr="001A64C6">
        <w:rPr>
          <w:rFonts w:ascii="Times New Roman" w:hAnsi="Times New Roman" w:cs="Times New Roman"/>
          <w:sz w:val="26"/>
          <w:szCs w:val="26"/>
        </w:rPr>
        <w:t xml:space="preserve"> раза, в </w:t>
      </w:r>
      <w:r w:rsidR="00304711" w:rsidRPr="001A64C6">
        <w:rPr>
          <w:rFonts w:ascii="Times New Roman" w:hAnsi="Times New Roman" w:cs="Times New Roman"/>
          <w:sz w:val="26"/>
          <w:szCs w:val="26"/>
        </w:rPr>
        <w:t xml:space="preserve">Нарынской области – в 2,2 раза и Баткенской </w:t>
      </w:r>
      <w:r w:rsidR="00220003" w:rsidRPr="001A64C6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304711" w:rsidRPr="001A64C6">
        <w:rPr>
          <w:rFonts w:ascii="Times New Roman" w:hAnsi="Times New Roman" w:cs="Times New Roman"/>
          <w:sz w:val="26"/>
          <w:szCs w:val="26"/>
        </w:rPr>
        <w:t>– в 1,9 раза.</w:t>
      </w:r>
      <w:r w:rsidR="00220003" w:rsidRPr="001A64C6">
        <w:rPr>
          <w:rFonts w:ascii="Times New Roman" w:hAnsi="Times New Roman" w:cs="Times New Roman"/>
          <w:sz w:val="26"/>
          <w:szCs w:val="26"/>
        </w:rPr>
        <w:t xml:space="preserve"> </w:t>
      </w:r>
      <w:r w:rsidR="004A72D3" w:rsidRPr="001A64C6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57D22" w:rsidRPr="001A64C6" w:rsidRDefault="00057D22" w:rsidP="0026250E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714B" w:rsidRDefault="00110FBE" w:rsidP="00F4459C">
      <w:pPr>
        <w:spacing w:line="288" w:lineRule="auto"/>
        <w:ind w:left="-284"/>
        <w:jc w:val="center"/>
        <w:rPr>
          <w:rFonts w:ascii="Times New Roman" w:hAnsi="Times New Roman" w:cs="Times New Roman"/>
          <w:i/>
        </w:rPr>
      </w:pPr>
      <w:r w:rsidRPr="001A64C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24FBB73" wp14:editId="67D6F448">
            <wp:simplePos x="0" y="0"/>
            <wp:positionH relativeFrom="margin">
              <wp:posOffset>-182245</wp:posOffset>
            </wp:positionH>
            <wp:positionV relativeFrom="paragraph">
              <wp:posOffset>581660</wp:posOffset>
            </wp:positionV>
            <wp:extent cx="6315075" cy="2495550"/>
            <wp:effectExtent l="0" t="0" r="0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2C2" w:rsidRPr="001A64C6">
        <w:rPr>
          <w:rFonts w:ascii="Times New Roman" w:hAnsi="Times New Roman" w:cs="Times New Roman"/>
          <w:b/>
          <w:sz w:val="26"/>
          <w:szCs w:val="26"/>
        </w:rPr>
        <w:t xml:space="preserve">График </w:t>
      </w:r>
      <w:r w:rsidR="00A46167">
        <w:rPr>
          <w:rFonts w:ascii="Times New Roman" w:hAnsi="Times New Roman" w:cs="Times New Roman"/>
          <w:b/>
          <w:sz w:val="26"/>
          <w:szCs w:val="26"/>
        </w:rPr>
        <w:t>4</w:t>
      </w:r>
      <w:r w:rsidR="00D502C2" w:rsidRPr="001A64C6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A23188" w:rsidRPr="001A64C6">
        <w:rPr>
          <w:rFonts w:ascii="Times New Roman" w:hAnsi="Times New Roman" w:cs="Times New Roman"/>
          <w:b/>
          <w:sz w:val="26"/>
          <w:szCs w:val="26"/>
        </w:rPr>
        <w:t>О</w:t>
      </w:r>
      <w:r w:rsidR="00A71AB7" w:rsidRPr="001A64C6">
        <w:rPr>
          <w:rFonts w:ascii="Times New Roman" w:hAnsi="Times New Roman" w:cs="Times New Roman"/>
          <w:b/>
          <w:sz w:val="26"/>
          <w:szCs w:val="26"/>
        </w:rPr>
        <w:t>борот розничной торговли</w:t>
      </w:r>
      <w:r w:rsidR="00A673DE" w:rsidRPr="001A64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1AB7" w:rsidRPr="001A64C6">
        <w:rPr>
          <w:rFonts w:ascii="Times New Roman" w:hAnsi="Times New Roman" w:cs="Times New Roman"/>
          <w:b/>
          <w:sz w:val="26"/>
          <w:szCs w:val="26"/>
        </w:rPr>
        <w:t>на душу населения по территории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F4459C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A71AB7" w:rsidRPr="001A64C6">
        <w:rPr>
          <w:rFonts w:ascii="Times New Roman" w:hAnsi="Times New Roman" w:cs="Times New Roman"/>
          <w:b/>
          <w:sz w:val="26"/>
          <w:szCs w:val="26"/>
        </w:rPr>
        <w:t>в 2017г</w:t>
      </w:r>
      <w:r w:rsidR="00A71AB7" w:rsidRPr="00110FBE">
        <w:rPr>
          <w:rFonts w:ascii="Times New Roman" w:hAnsi="Times New Roman" w:cs="Times New Roman"/>
          <w:b/>
        </w:rPr>
        <w:t>.</w:t>
      </w:r>
      <w:r w:rsidR="00A673DE" w:rsidRPr="00110FBE">
        <w:rPr>
          <w:rFonts w:ascii="Times New Roman" w:hAnsi="Times New Roman" w:cs="Times New Roman"/>
          <w:i/>
        </w:rPr>
        <w:t xml:space="preserve">                                                                    </w:t>
      </w:r>
      <w:r w:rsidR="00FF5CD6" w:rsidRPr="00110FBE">
        <w:rPr>
          <w:rFonts w:ascii="Times New Roman" w:hAnsi="Times New Roman" w:cs="Times New Roman"/>
          <w:i/>
        </w:rPr>
        <w:t>(тыс. сомов)</w:t>
      </w:r>
    </w:p>
    <w:p w:rsidR="0023714B" w:rsidRPr="0023714B" w:rsidRDefault="0023714B" w:rsidP="0023714B">
      <w:pPr>
        <w:rPr>
          <w:rFonts w:ascii="Times New Roman" w:hAnsi="Times New Roman" w:cs="Times New Roman"/>
        </w:rPr>
      </w:pPr>
    </w:p>
    <w:p w:rsidR="0023714B" w:rsidRPr="0023714B" w:rsidRDefault="0023714B" w:rsidP="0023714B">
      <w:pPr>
        <w:rPr>
          <w:rFonts w:ascii="Times New Roman" w:hAnsi="Times New Roman" w:cs="Times New Roman"/>
        </w:rPr>
      </w:pPr>
    </w:p>
    <w:p w:rsidR="0023714B" w:rsidRPr="006D2DCC" w:rsidRDefault="0023714B" w:rsidP="0023714B">
      <w:pPr>
        <w:rPr>
          <w:rFonts w:ascii="Times New Roman" w:hAnsi="Times New Roman" w:cs="Times New Roman"/>
        </w:rPr>
      </w:pPr>
    </w:p>
    <w:p w:rsidR="0023714B" w:rsidRPr="00C23B4F" w:rsidRDefault="0023714B" w:rsidP="0023714B">
      <w:pPr>
        <w:rPr>
          <w:rFonts w:ascii="Times New Roman" w:hAnsi="Times New Roman" w:cs="Times New Roman"/>
          <w:sz w:val="32"/>
          <w:szCs w:val="32"/>
        </w:rPr>
      </w:pPr>
    </w:p>
    <w:p w:rsidR="0023714B" w:rsidRPr="0023714B" w:rsidRDefault="0023714B" w:rsidP="0023714B">
      <w:pPr>
        <w:rPr>
          <w:rFonts w:ascii="Times New Roman" w:hAnsi="Times New Roman" w:cs="Times New Roman"/>
        </w:rPr>
      </w:pPr>
    </w:p>
    <w:p w:rsidR="0023714B" w:rsidRDefault="0023714B" w:rsidP="0023714B">
      <w:pPr>
        <w:rPr>
          <w:rFonts w:ascii="Times New Roman" w:hAnsi="Times New Roman" w:cs="Times New Roman"/>
        </w:rPr>
      </w:pPr>
    </w:p>
    <w:p w:rsidR="00987DF8" w:rsidRPr="0023714B" w:rsidRDefault="00987DF8" w:rsidP="0023714B">
      <w:pPr>
        <w:rPr>
          <w:rFonts w:ascii="Times New Roman" w:hAnsi="Times New Roman" w:cs="Times New Roman"/>
        </w:rPr>
      </w:pPr>
    </w:p>
    <w:p w:rsidR="0023714B" w:rsidRPr="0023714B" w:rsidRDefault="0023714B" w:rsidP="0023714B">
      <w:pPr>
        <w:rPr>
          <w:rFonts w:ascii="Times New Roman" w:hAnsi="Times New Roman" w:cs="Times New Roman"/>
        </w:rPr>
      </w:pPr>
    </w:p>
    <w:p w:rsidR="00987DF8" w:rsidRPr="00987DF8" w:rsidRDefault="00987DF8" w:rsidP="00987DF8">
      <w:pPr>
        <w:pBdr>
          <w:top w:val="single" w:sz="4" w:space="1" w:color="auto"/>
        </w:pBdr>
        <w:shd w:val="clear" w:color="auto" w:fill="FFFFFF"/>
        <w:ind w:left="-5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7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Управление статистики торговли | e-</w:t>
      </w:r>
      <w:proofErr w:type="spellStart"/>
      <w:r w:rsidRPr="00987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mail</w:t>
      </w:r>
      <w:proofErr w:type="spellEnd"/>
      <w:r w:rsidRPr="00987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 vmambetalieva@stat.kg </w:t>
      </w:r>
      <w:proofErr w:type="gramStart"/>
      <w:r w:rsidRPr="00987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|  тел.</w:t>
      </w:r>
      <w:proofErr w:type="gramEnd"/>
      <w:r w:rsidRPr="00987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+ 996 (312) 324650</w:t>
      </w:r>
    </w:p>
    <w:p w:rsidR="00987DF8" w:rsidRPr="00987DF8" w:rsidRDefault="00987DF8" w:rsidP="00987DF8">
      <w:pPr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</w:p>
    <w:p w:rsidR="00987DF8" w:rsidRPr="00987DF8" w:rsidRDefault="00987DF8" w:rsidP="00987DF8">
      <w:pPr>
        <w:shd w:val="clear" w:color="auto" w:fill="FFFFFF"/>
        <w:spacing w:after="150"/>
        <w:ind w:left="-5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7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Отдел статистики потребительского рынка | e-</w:t>
      </w:r>
      <w:proofErr w:type="spellStart"/>
      <w:r w:rsidRPr="00987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mail</w:t>
      </w:r>
      <w:proofErr w:type="spellEnd"/>
      <w:r w:rsidRPr="00987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  <w:hyperlink r:id="rId9" w:history="1">
        <w:r w:rsidRPr="00987DF8">
          <w:rPr>
            <w:rFonts w:ascii="Arial" w:eastAsia="Times New Roman" w:hAnsi="Arial" w:cs="Arial"/>
            <w:color w:val="0563C1" w:themeColor="hyperlink"/>
            <w:sz w:val="21"/>
            <w:szCs w:val="21"/>
            <w:u w:val="single"/>
            <w:lang w:eastAsia="ru-RU"/>
          </w:rPr>
          <w:t>a.mamanova@stat.kg</w:t>
        </w:r>
      </w:hyperlink>
      <w:r w:rsidRPr="00987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| тел. + 996 (312) 324725</w:t>
      </w:r>
    </w:p>
    <w:p w:rsidR="00987DF8" w:rsidRPr="00987DF8" w:rsidRDefault="00987DF8" w:rsidP="00987DF8">
      <w:pPr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</w:p>
    <w:p w:rsidR="00987DF8" w:rsidRPr="00987DF8" w:rsidRDefault="00987DF8" w:rsidP="00987DF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87DF8" w:rsidRPr="00987DF8" w:rsidRDefault="00987DF8" w:rsidP="00987DF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7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 использовании статистических данных в средствах массовой информации и научных трудах, распространении в информационных сетях, на </w:t>
      </w:r>
      <w:bookmarkStart w:id="0" w:name="_GoBack"/>
      <w:bookmarkEnd w:id="0"/>
      <w:r w:rsidRPr="00987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бумажных, магнитных и иных   носителях пользователи обязаны ссылаться на их источник. (ст. 17 Закона </w:t>
      </w:r>
      <w:proofErr w:type="spellStart"/>
      <w:r w:rsidRPr="00987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Кыргызской</w:t>
      </w:r>
      <w:proofErr w:type="spellEnd"/>
      <w:r w:rsidRPr="00987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Республики «О Государственной статистике»).</w:t>
      </w:r>
    </w:p>
    <w:sectPr w:rsidR="00987DF8" w:rsidRPr="00987DF8" w:rsidSect="00A673D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92"/>
    <w:rsid w:val="00001369"/>
    <w:rsid w:val="0000581F"/>
    <w:rsid w:val="000115AA"/>
    <w:rsid w:val="00013E99"/>
    <w:rsid w:val="00032179"/>
    <w:rsid w:val="0004179E"/>
    <w:rsid w:val="00057D22"/>
    <w:rsid w:val="000912D0"/>
    <w:rsid w:val="000A12B6"/>
    <w:rsid w:val="000B0448"/>
    <w:rsid w:val="000D0C39"/>
    <w:rsid w:val="000E03A2"/>
    <w:rsid w:val="000F4FC4"/>
    <w:rsid w:val="001029B9"/>
    <w:rsid w:val="00106B29"/>
    <w:rsid w:val="00107083"/>
    <w:rsid w:val="00110260"/>
    <w:rsid w:val="00110FBE"/>
    <w:rsid w:val="00151D52"/>
    <w:rsid w:val="0016560D"/>
    <w:rsid w:val="00165FCF"/>
    <w:rsid w:val="001719A0"/>
    <w:rsid w:val="00187031"/>
    <w:rsid w:val="001A4CBF"/>
    <w:rsid w:val="001A64C6"/>
    <w:rsid w:val="001A6736"/>
    <w:rsid w:val="001D03C8"/>
    <w:rsid w:val="001E1AE8"/>
    <w:rsid w:val="001F5038"/>
    <w:rsid w:val="00220003"/>
    <w:rsid w:val="0023714B"/>
    <w:rsid w:val="0026250E"/>
    <w:rsid w:val="0027656C"/>
    <w:rsid w:val="00292EA7"/>
    <w:rsid w:val="002A6274"/>
    <w:rsid w:val="002A79A9"/>
    <w:rsid w:val="002B5FD9"/>
    <w:rsid w:val="002D41E6"/>
    <w:rsid w:val="002D4AF0"/>
    <w:rsid w:val="002D6305"/>
    <w:rsid w:val="002D795F"/>
    <w:rsid w:val="002F0FF2"/>
    <w:rsid w:val="0030374E"/>
    <w:rsid w:val="00304711"/>
    <w:rsid w:val="003106F8"/>
    <w:rsid w:val="00346E0E"/>
    <w:rsid w:val="00352DD6"/>
    <w:rsid w:val="0036117F"/>
    <w:rsid w:val="00381404"/>
    <w:rsid w:val="003833C1"/>
    <w:rsid w:val="00386C10"/>
    <w:rsid w:val="00394404"/>
    <w:rsid w:val="003949D8"/>
    <w:rsid w:val="003A1BC5"/>
    <w:rsid w:val="003D0585"/>
    <w:rsid w:val="003E30CD"/>
    <w:rsid w:val="003F14C1"/>
    <w:rsid w:val="004057DB"/>
    <w:rsid w:val="00431732"/>
    <w:rsid w:val="00445869"/>
    <w:rsid w:val="0047434C"/>
    <w:rsid w:val="00491539"/>
    <w:rsid w:val="004972CD"/>
    <w:rsid w:val="004A72D3"/>
    <w:rsid w:val="004B04FD"/>
    <w:rsid w:val="004B2F61"/>
    <w:rsid w:val="004C49E8"/>
    <w:rsid w:val="004E28F8"/>
    <w:rsid w:val="004F13F3"/>
    <w:rsid w:val="00501542"/>
    <w:rsid w:val="00523CE0"/>
    <w:rsid w:val="005309D9"/>
    <w:rsid w:val="00534989"/>
    <w:rsid w:val="00556A32"/>
    <w:rsid w:val="00565FFF"/>
    <w:rsid w:val="005A337E"/>
    <w:rsid w:val="005A6145"/>
    <w:rsid w:val="005A69FB"/>
    <w:rsid w:val="005C42D4"/>
    <w:rsid w:val="005D5801"/>
    <w:rsid w:val="005E3D6C"/>
    <w:rsid w:val="005F3DEB"/>
    <w:rsid w:val="006018E6"/>
    <w:rsid w:val="00615B81"/>
    <w:rsid w:val="00621CC2"/>
    <w:rsid w:val="00630DC0"/>
    <w:rsid w:val="00656535"/>
    <w:rsid w:val="006739B2"/>
    <w:rsid w:val="00675590"/>
    <w:rsid w:val="0067754A"/>
    <w:rsid w:val="00680182"/>
    <w:rsid w:val="0069462C"/>
    <w:rsid w:val="006B5B07"/>
    <w:rsid w:val="006C5090"/>
    <w:rsid w:val="006C5A2D"/>
    <w:rsid w:val="006D2DCC"/>
    <w:rsid w:val="006E3280"/>
    <w:rsid w:val="006E4DED"/>
    <w:rsid w:val="006F0267"/>
    <w:rsid w:val="006F3D6C"/>
    <w:rsid w:val="00705CC4"/>
    <w:rsid w:val="00711BA0"/>
    <w:rsid w:val="0072251C"/>
    <w:rsid w:val="00737154"/>
    <w:rsid w:val="00744252"/>
    <w:rsid w:val="007442FC"/>
    <w:rsid w:val="00757E56"/>
    <w:rsid w:val="0076103D"/>
    <w:rsid w:val="007739C3"/>
    <w:rsid w:val="007777EF"/>
    <w:rsid w:val="007D5822"/>
    <w:rsid w:val="007E0857"/>
    <w:rsid w:val="007E5108"/>
    <w:rsid w:val="007E6139"/>
    <w:rsid w:val="007F1B74"/>
    <w:rsid w:val="007F29AE"/>
    <w:rsid w:val="00810665"/>
    <w:rsid w:val="008112BD"/>
    <w:rsid w:val="00837FE0"/>
    <w:rsid w:val="00845CD5"/>
    <w:rsid w:val="00870108"/>
    <w:rsid w:val="00873CAE"/>
    <w:rsid w:val="0087486A"/>
    <w:rsid w:val="00875979"/>
    <w:rsid w:val="00877474"/>
    <w:rsid w:val="008A5CA5"/>
    <w:rsid w:val="008B096B"/>
    <w:rsid w:val="008E31B3"/>
    <w:rsid w:val="0091245E"/>
    <w:rsid w:val="009474A6"/>
    <w:rsid w:val="00951891"/>
    <w:rsid w:val="00983D0F"/>
    <w:rsid w:val="00987DF8"/>
    <w:rsid w:val="009A4409"/>
    <w:rsid w:val="009A7366"/>
    <w:rsid w:val="009B5F5C"/>
    <w:rsid w:val="009C7DC1"/>
    <w:rsid w:val="009E5675"/>
    <w:rsid w:val="009E6871"/>
    <w:rsid w:val="009F2855"/>
    <w:rsid w:val="00A1349A"/>
    <w:rsid w:val="00A147CF"/>
    <w:rsid w:val="00A23188"/>
    <w:rsid w:val="00A3470C"/>
    <w:rsid w:val="00A40E1A"/>
    <w:rsid w:val="00A46167"/>
    <w:rsid w:val="00A4717A"/>
    <w:rsid w:val="00A52E6E"/>
    <w:rsid w:val="00A56D70"/>
    <w:rsid w:val="00A652E7"/>
    <w:rsid w:val="00A673DE"/>
    <w:rsid w:val="00A71AB7"/>
    <w:rsid w:val="00A73693"/>
    <w:rsid w:val="00AA5190"/>
    <w:rsid w:val="00AB12F8"/>
    <w:rsid w:val="00AB41ED"/>
    <w:rsid w:val="00AD2F91"/>
    <w:rsid w:val="00AD54F7"/>
    <w:rsid w:val="00AE3D6C"/>
    <w:rsid w:val="00AF0FCC"/>
    <w:rsid w:val="00B00D80"/>
    <w:rsid w:val="00B028C0"/>
    <w:rsid w:val="00B03642"/>
    <w:rsid w:val="00B17AA2"/>
    <w:rsid w:val="00B244A1"/>
    <w:rsid w:val="00B34FDB"/>
    <w:rsid w:val="00B40659"/>
    <w:rsid w:val="00B537A5"/>
    <w:rsid w:val="00B611F0"/>
    <w:rsid w:val="00B66E2E"/>
    <w:rsid w:val="00B70137"/>
    <w:rsid w:val="00B87692"/>
    <w:rsid w:val="00B915F0"/>
    <w:rsid w:val="00BA0BFC"/>
    <w:rsid w:val="00BB0331"/>
    <w:rsid w:val="00BB613F"/>
    <w:rsid w:val="00BB6AB3"/>
    <w:rsid w:val="00BC32CF"/>
    <w:rsid w:val="00BC6193"/>
    <w:rsid w:val="00BE50AE"/>
    <w:rsid w:val="00BF04D6"/>
    <w:rsid w:val="00C011E0"/>
    <w:rsid w:val="00C03582"/>
    <w:rsid w:val="00C12BEC"/>
    <w:rsid w:val="00C23B4F"/>
    <w:rsid w:val="00C5385D"/>
    <w:rsid w:val="00C826D3"/>
    <w:rsid w:val="00CC01FF"/>
    <w:rsid w:val="00CE121E"/>
    <w:rsid w:val="00CF100B"/>
    <w:rsid w:val="00D1469F"/>
    <w:rsid w:val="00D1563D"/>
    <w:rsid w:val="00D31145"/>
    <w:rsid w:val="00D40577"/>
    <w:rsid w:val="00D414EF"/>
    <w:rsid w:val="00D4341C"/>
    <w:rsid w:val="00D502C2"/>
    <w:rsid w:val="00D60BBE"/>
    <w:rsid w:val="00D73EF4"/>
    <w:rsid w:val="00D83E59"/>
    <w:rsid w:val="00D85888"/>
    <w:rsid w:val="00D859F3"/>
    <w:rsid w:val="00DA6FDF"/>
    <w:rsid w:val="00DB3033"/>
    <w:rsid w:val="00DC68F3"/>
    <w:rsid w:val="00DC79E5"/>
    <w:rsid w:val="00DC7B1A"/>
    <w:rsid w:val="00DD208C"/>
    <w:rsid w:val="00DE09CC"/>
    <w:rsid w:val="00DE2FA0"/>
    <w:rsid w:val="00DF3F78"/>
    <w:rsid w:val="00DF5F92"/>
    <w:rsid w:val="00DF797F"/>
    <w:rsid w:val="00E2275E"/>
    <w:rsid w:val="00E52102"/>
    <w:rsid w:val="00E5224B"/>
    <w:rsid w:val="00E60923"/>
    <w:rsid w:val="00E62FC2"/>
    <w:rsid w:val="00E717A4"/>
    <w:rsid w:val="00E73648"/>
    <w:rsid w:val="00E84A40"/>
    <w:rsid w:val="00EA2C5C"/>
    <w:rsid w:val="00EB0FB0"/>
    <w:rsid w:val="00EC0120"/>
    <w:rsid w:val="00EC7A3D"/>
    <w:rsid w:val="00EE5F7F"/>
    <w:rsid w:val="00EF2DA6"/>
    <w:rsid w:val="00EF7EED"/>
    <w:rsid w:val="00F01D44"/>
    <w:rsid w:val="00F04E56"/>
    <w:rsid w:val="00F0594F"/>
    <w:rsid w:val="00F2320D"/>
    <w:rsid w:val="00F27480"/>
    <w:rsid w:val="00F31A3B"/>
    <w:rsid w:val="00F33E6D"/>
    <w:rsid w:val="00F4459C"/>
    <w:rsid w:val="00F61899"/>
    <w:rsid w:val="00F73A22"/>
    <w:rsid w:val="00F91036"/>
    <w:rsid w:val="00F96E27"/>
    <w:rsid w:val="00FA148E"/>
    <w:rsid w:val="00FC2B50"/>
    <w:rsid w:val="00FC6940"/>
    <w:rsid w:val="00FD6B63"/>
    <w:rsid w:val="00FE095F"/>
    <w:rsid w:val="00FF31AA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6230D-797E-4E07-8873-93643F69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B244A1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52DD6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52D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Emphasis"/>
    <w:basedOn w:val="a0"/>
    <w:uiPriority w:val="20"/>
    <w:qFormat/>
    <w:rsid w:val="00711BA0"/>
    <w:rPr>
      <w:i/>
      <w:iCs/>
    </w:rPr>
  </w:style>
  <w:style w:type="paragraph" w:customStyle="1" w:styleId="CharChar4">
    <w:name w:val="Char Char4 Знак Знак Знак"/>
    <w:basedOn w:val="a"/>
    <w:rsid w:val="00711B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uiPriority w:val="39"/>
    <w:rsid w:val="005A3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7E510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E5108"/>
  </w:style>
  <w:style w:type="paragraph" w:customStyle="1" w:styleId="xl34">
    <w:name w:val="xl34"/>
    <w:basedOn w:val="a"/>
    <w:rsid w:val="00D8588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b/>
      <w:bCs/>
      <w:sz w:val="18"/>
      <w:szCs w:val="18"/>
      <w:lang w:eastAsia="ru-RU"/>
    </w:rPr>
  </w:style>
  <w:style w:type="paragraph" w:customStyle="1" w:styleId="xl33">
    <w:name w:val="xl33"/>
    <w:basedOn w:val="a"/>
    <w:rsid w:val="00D85888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7EE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7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mamanova@stat.kg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082026468949243E-2"/>
          <c:y val="4.4568315099226458E-2"/>
          <c:w val="0.85856474053595966"/>
          <c:h val="0.841674686497521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Лист1!$B$28:$F$28</c:f>
              <c:numCache>
                <c:formatCode>0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Лист1!$B$29:$F$29</c:f>
              <c:numCache>
                <c:formatCode>0.0</c:formatCode>
                <c:ptCount val="5"/>
                <c:pt idx="0">
                  <c:v>233.37560000000002</c:v>
                </c:pt>
                <c:pt idx="1">
                  <c:v>277.72290000000004</c:v>
                </c:pt>
                <c:pt idx="2">
                  <c:v>310.4323</c:v>
                </c:pt>
                <c:pt idx="3">
                  <c:v>324.48429999999996</c:v>
                </c:pt>
                <c:pt idx="4">
                  <c:v>356.2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5591800"/>
        <c:axId val="425590232"/>
      </c:barChart>
      <c:catAx>
        <c:axId val="4255918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5590232"/>
        <c:crosses val="autoZero"/>
        <c:auto val="1"/>
        <c:lblAlgn val="ctr"/>
        <c:lblOffset val="100"/>
        <c:noMultiLvlLbl val="0"/>
      </c:catAx>
      <c:valAx>
        <c:axId val="425590232"/>
        <c:scaling>
          <c:orientation val="minMax"/>
          <c:max val="400"/>
          <c:min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5591800"/>
        <c:crosses val="autoZero"/>
        <c:crossBetween val="between"/>
        <c:majorUnit val="50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406681307693683E-2"/>
          <c:y val="2.2327315792842969E-2"/>
          <c:w val="0.88601154979575847"/>
          <c:h val="0.573481531272005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Лист1!$C$5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1.3502108508401519E-2"/>
                  <c:y val="3.254983885097760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2503514180669199E-3"/>
                  <c:y val="-6.658276388461381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251757090334599E-2"/>
                  <c:y val="-6.658276388461411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2503514180670023E-3"/>
                  <c:y val="-3.30936371179524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1251757090334682E-2"/>
                  <c:y val="-3.35385629727499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3.353856297275058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9.0014056722676795E-3"/>
                  <c:y val="-4.943620608867576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9.0014056722676795E-3"/>
                  <c:y val="-3.353856297275028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6.751054254200594E-3"/>
                  <c:y val="3.254983885097737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Лист1!$B$6:$B$14</c:f>
              <c:strCache>
                <c:ptCount val="9"/>
                <c:pt idx="0">
                  <c:v>Баткенская область</c:v>
                </c:pt>
                <c:pt idx="1">
                  <c:v>Джалал-Абадская область</c:v>
                </c:pt>
                <c:pt idx="2">
                  <c:v>Иссык-Кульская область</c:v>
                </c:pt>
                <c:pt idx="3">
                  <c:v>Нарынская область</c:v>
                </c:pt>
                <c:pt idx="4">
                  <c:v>Ошская область</c:v>
                </c:pt>
                <c:pt idx="5">
                  <c:v>Таласская область</c:v>
                </c:pt>
                <c:pt idx="6">
                  <c:v>Чуйская область</c:v>
                </c:pt>
                <c:pt idx="7">
                  <c:v>г. Бишкек</c:v>
                </c:pt>
                <c:pt idx="8">
                  <c:v>г. Ош</c:v>
                </c:pt>
              </c:strCache>
            </c:strRef>
          </c:cat>
          <c:val>
            <c:numRef>
              <c:f>Лист1!$C$6:$C$14</c:f>
              <c:numCache>
                <c:formatCode>0.0</c:formatCode>
                <c:ptCount val="9"/>
                <c:pt idx="0">
                  <c:v>117.9</c:v>
                </c:pt>
                <c:pt idx="1">
                  <c:v>108</c:v>
                </c:pt>
                <c:pt idx="2">
                  <c:v>105.3</c:v>
                </c:pt>
                <c:pt idx="3">
                  <c:v>102.8</c:v>
                </c:pt>
                <c:pt idx="4">
                  <c:v>106.8</c:v>
                </c:pt>
                <c:pt idx="5">
                  <c:v>106.3</c:v>
                </c:pt>
                <c:pt idx="6">
                  <c:v>104.3</c:v>
                </c:pt>
                <c:pt idx="7">
                  <c:v>108.2</c:v>
                </c:pt>
                <c:pt idx="8">
                  <c:v>109.7</c:v>
                </c:pt>
              </c:numCache>
            </c:numRef>
          </c:val>
        </c:ser>
        <c:ser>
          <c:idx val="1"/>
          <c:order val="1"/>
          <c:tx>
            <c:strRef>
              <c:f>Лист1!$D$5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0"/>
                  <c:y val="-3.35385629727499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253162762602278E-2"/>
                  <c:y val="3.254983885097737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7510542542007597E-3"/>
                  <c:y val="-3.35385629727499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6.559403976284090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1251757090334517E-2"/>
                  <c:y val="-6.658276388461411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8002811344535359E-2"/>
                  <c:y val="3.254983885097737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4.5007028361337574E-3"/>
                  <c:y val="-1.32671165708341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6.7510542542007597E-3"/>
                  <c:y val="-3.35385629727499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9.0014056722676795E-3"/>
                  <c:y val="6.559403976284090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Лист1!$B$6:$B$14</c:f>
              <c:strCache>
                <c:ptCount val="9"/>
                <c:pt idx="0">
                  <c:v>Баткенская область</c:v>
                </c:pt>
                <c:pt idx="1">
                  <c:v>Джалал-Абадская область</c:v>
                </c:pt>
                <c:pt idx="2">
                  <c:v>Иссык-Кульская область</c:v>
                </c:pt>
                <c:pt idx="3">
                  <c:v>Нарынская область</c:v>
                </c:pt>
                <c:pt idx="4">
                  <c:v>Ошская область</c:v>
                </c:pt>
                <c:pt idx="5">
                  <c:v>Таласская область</c:v>
                </c:pt>
                <c:pt idx="6">
                  <c:v>Чуйская область</c:v>
                </c:pt>
                <c:pt idx="7">
                  <c:v>г. Бишкек</c:v>
                </c:pt>
                <c:pt idx="8">
                  <c:v>г. Ош</c:v>
                </c:pt>
              </c:strCache>
            </c:strRef>
          </c:cat>
          <c:val>
            <c:numRef>
              <c:f>Лист1!$D$6:$D$14</c:f>
              <c:numCache>
                <c:formatCode>0.0</c:formatCode>
                <c:ptCount val="9"/>
                <c:pt idx="0">
                  <c:v>106</c:v>
                </c:pt>
                <c:pt idx="1">
                  <c:v>107.3</c:v>
                </c:pt>
                <c:pt idx="2">
                  <c:v>102.6</c:v>
                </c:pt>
                <c:pt idx="3">
                  <c:v>103</c:v>
                </c:pt>
                <c:pt idx="4">
                  <c:v>106.1</c:v>
                </c:pt>
                <c:pt idx="5">
                  <c:v>107.3</c:v>
                </c:pt>
                <c:pt idx="6">
                  <c:v>104.5</c:v>
                </c:pt>
                <c:pt idx="7">
                  <c:v>107.4</c:v>
                </c:pt>
                <c:pt idx="8">
                  <c:v>105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25592192"/>
        <c:axId val="425590624"/>
      </c:barChart>
      <c:catAx>
        <c:axId val="425592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5590624"/>
        <c:crosses val="autoZero"/>
        <c:auto val="1"/>
        <c:lblAlgn val="ctr"/>
        <c:lblOffset val="100"/>
        <c:noMultiLvlLbl val="0"/>
      </c:catAx>
      <c:valAx>
        <c:axId val="425590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559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556001928330394"/>
          <c:y val="0.94229749150208686"/>
          <c:w val="0.28323422930017855"/>
          <c:h val="5.57624793246077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194782608695655"/>
          <c:y val="8.6735311932162329E-3"/>
          <c:w val="0.3375401118338468"/>
          <c:h val="0.6491155996804746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 w="19050">
                <a:solidFill>
                  <a:schemeClr val="accent6">
                    <a:lumMod val="20000"/>
                    <a:lumOff val="80000"/>
                  </a:schemeClr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6">
                  <a:lumMod val="20000"/>
                  <a:lumOff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fld id="{17CC2270-EBAE-49B0-9A61-D35B62E16EF6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11,0%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CB22E1BE-AFBF-4291-B9A7-82DC260AB353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F6B6ECE4-A4A3-4F00-B468-48B07544CB21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Лист1!$A$7:$A$10</c:f>
              <c:strCache>
                <c:ptCount val="4"/>
                <c:pt idx="0">
                  <c:v>крупные и средние предприятия</c:v>
                </c:pt>
                <c:pt idx="1">
                  <c:v>малые предприятия</c:v>
                </c:pt>
                <c:pt idx="2">
                  <c:v>индивидуальные предприниматели, реализующие товары вне рынка </c:v>
                </c:pt>
                <c:pt idx="3">
                  <c:v>продажа товаров на рынках </c:v>
                </c:pt>
              </c:strCache>
            </c:strRef>
          </c:cat>
          <c:val>
            <c:numRef>
              <c:f>Лист1!$B$7:$B$10</c:f>
              <c:numCache>
                <c:formatCode>0.0</c:formatCode>
                <c:ptCount val="4"/>
                <c:pt idx="0" formatCode="General">
                  <c:v>17.899999999999999</c:v>
                </c:pt>
                <c:pt idx="1">
                  <c:v>11</c:v>
                </c:pt>
                <c:pt idx="2" formatCode="General">
                  <c:v>27.3</c:v>
                </c:pt>
                <c:pt idx="3" formatCode="General">
                  <c:v>43.8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465692014742501"/>
          <c:y val="3.2338415891993433E-2"/>
          <c:w val="0.69163153248377884"/>
          <c:h val="0.87489179746571411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Лист1!$A$16:$A$25</c:f>
              <c:strCache>
                <c:ptCount val="9"/>
                <c:pt idx="0">
                  <c:v>г. Ош</c:v>
                </c:pt>
                <c:pt idx="1">
                  <c:v>г. Бишкек</c:v>
                </c:pt>
                <c:pt idx="2">
                  <c:v>Чуйская область</c:v>
                </c:pt>
                <c:pt idx="3">
                  <c:v>Иссык-Кульская область</c:v>
                </c:pt>
                <c:pt idx="4">
                  <c:v>Таласская область</c:v>
                </c:pt>
                <c:pt idx="5">
                  <c:v>Ошская область</c:v>
                </c:pt>
                <c:pt idx="6">
                  <c:v>Нарынская область</c:v>
                </c:pt>
                <c:pt idx="7">
                  <c:v>Джалал-Абадская область</c:v>
                </c:pt>
                <c:pt idx="8">
                  <c:v>Баткенская область</c:v>
                </c:pt>
              </c:strCache>
            </c:strRef>
          </c:cat>
          <c:val>
            <c:numRef>
              <c:f>Лист1!$B$16:$B$25</c:f>
              <c:numCache>
                <c:formatCode>0.0</c:formatCode>
                <c:ptCount val="10"/>
                <c:pt idx="0">
                  <c:v>128.80000000000001</c:v>
                </c:pt>
                <c:pt idx="1">
                  <c:v>126</c:v>
                </c:pt>
                <c:pt idx="2">
                  <c:v>58.4</c:v>
                </c:pt>
                <c:pt idx="3">
                  <c:v>39.700000000000003</c:v>
                </c:pt>
                <c:pt idx="4">
                  <c:v>46.7</c:v>
                </c:pt>
                <c:pt idx="5">
                  <c:v>26.6</c:v>
                </c:pt>
                <c:pt idx="6">
                  <c:v>26.7</c:v>
                </c:pt>
                <c:pt idx="7">
                  <c:v>51.2</c:v>
                </c:pt>
                <c:pt idx="8">
                  <c:v>30.8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5591408"/>
        <c:axId val="425592976"/>
        <c:axId val="0"/>
      </c:bar3DChart>
      <c:catAx>
        <c:axId val="425591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5592976"/>
        <c:crosses val="autoZero"/>
        <c:auto val="1"/>
        <c:lblAlgn val="ctr"/>
        <c:lblOffset val="100"/>
        <c:noMultiLvlLbl val="0"/>
      </c:catAx>
      <c:valAx>
        <c:axId val="425592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5591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 marL="0">
        <a:spcBef>
          <a:spcPts val="1800"/>
        </a:spcBef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1D5AA-A122-4634-8DA3-2F9E48C9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omuraliev</dc:creator>
  <cp:keywords/>
  <dc:description/>
  <cp:lastModifiedBy>Tabdyldaeva</cp:lastModifiedBy>
  <cp:revision>2</cp:revision>
  <cp:lastPrinted>2018-09-28T10:06:00Z</cp:lastPrinted>
  <dcterms:created xsi:type="dcterms:W3CDTF">2018-10-01T09:00:00Z</dcterms:created>
  <dcterms:modified xsi:type="dcterms:W3CDTF">2018-10-01T09:00:00Z</dcterms:modified>
</cp:coreProperties>
</file>